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783024" w:rsidP="00AD6A87">
      <w:pPr>
        <w:pStyle w:val="Nadpis1"/>
        <w:spacing w:line="360" w:lineRule="auto"/>
        <w:jc w:val="both"/>
      </w:pPr>
      <w:r>
        <w:t>Síra</w:t>
      </w:r>
    </w:p>
    <w:p w:rsidR="00783024" w:rsidRPr="00FA55B4" w:rsidRDefault="00E343CF" w:rsidP="0078302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426"/>
        <w:gridCol w:w="1292"/>
        <w:gridCol w:w="1181"/>
        <w:gridCol w:w="1731"/>
        <w:gridCol w:w="949"/>
        <w:gridCol w:w="889"/>
      </w:tblGrid>
      <w:tr w:rsidR="00783024" w:rsidTr="00783024">
        <w:trPr>
          <w:jc w:val="center"/>
        </w:trPr>
        <w:tc>
          <w:tcPr>
            <w:tcW w:w="436" w:type="dxa"/>
            <w:vAlign w:val="center"/>
          </w:tcPr>
          <w:p w:rsidR="00783024" w:rsidRDefault="00783024" w:rsidP="00852DEA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783024" w:rsidRDefault="00783024" w:rsidP="00852DEA">
            <w:pPr>
              <w:jc w:val="center"/>
            </w:pPr>
            <w:r>
              <w:t>Značka</w:t>
            </w:r>
          </w:p>
        </w:tc>
        <w:tc>
          <w:tcPr>
            <w:tcW w:w="1426" w:type="dxa"/>
            <w:vAlign w:val="center"/>
          </w:tcPr>
          <w:p w:rsidR="00783024" w:rsidRDefault="00783024" w:rsidP="00852DEA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783024" w:rsidRDefault="00783024" w:rsidP="00852DEA">
            <w:pPr>
              <w:jc w:val="center"/>
            </w:pPr>
            <w:r>
              <w:t>Elektronová konfigurace</w:t>
            </w:r>
          </w:p>
        </w:tc>
        <w:tc>
          <w:tcPr>
            <w:tcW w:w="1181" w:type="dxa"/>
            <w:vAlign w:val="center"/>
          </w:tcPr>
          <w:p w:rsidR="00783024" w:rsidRDefault="00783024" w:rsidP="00852DEA">
            <w:pPr>
              <w:jc w:val="center"/>
            </w:pPr>
            <w:r>
              <w:t>Oxidační číslo</w:t>
            </w:r>
          </w:p>
        </w:tc>
        <w:tc>
          <w:tcPr>
            <w:tcW w:w="1659" w:type="dxa"/>
            <w:vAlign w:val="center"/>
          </w:tcPr>
          <w:p w:rsidR="00783024" w:rsidRDefault="00783024" w:rsidP="00852DEA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783024" w:rsidRPr="00FD493B" w:rsidRDefault="00783024" w:rsidP="00852DEA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889" w:type="dxa"/>
            <w:vAlign w:val="center"/>
          </w:tcPr>
          <w:p w:rsidR="00783024" w:rsidRPr="00FD493B" w:rsidRDefault="00783024" w:rsidP="00852DEA">
            <w:pPr>
              <w:jc w:val="center"/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</w:tr>
      <w:tr w:rsidR="00783024" w:rsidTr="00783024">
        <w:trPr>
          <w:jc w:val="center"/>
        </w:trPr>
        <w:tc>
          <w:tcPr>
            <w:tcW w:w="436" w:type="dxa"/>
            <w:vAlign w:val="center"/>
          </w:tcPr>
          <w:p w:rsidR="00783024" w:rsidRDefault="00783024" w:rsidP="00852DEA">
            <w:pPr>
              <w:jc w:val="center"/>
            </w:pPr>
            <w:r>
              <w:t>16</w:t>
            </w:r>
          </w:p>
        </w:tc>
        <w:tc>
          <w:tcPr>
            <w:tcW w:w="864" w:type="dxa"/>
            <w:vAlign w:val="center"/>
          </w:tcPr>
          <w:p w:rsidR="00783024" w:rsidRDefault="00783024" w:rsidP="00852DEA">
            <w:pPr>
              <w:tabs>
                <w:tab w:val="left" w:pos="459"/>
              </w:tabs>
              <w:jc w:val="center"/>
            </w:pPr>
            <w:r>
              <w:t>S</w:t>
            </w:r>
          </w:p>
        </w:tc>
        <w:tc>
          <w:tcPr>
            <w:tcW w:w="1426" w:type="dxa"/>
            <w:vAlign w:val="center"/>
          </w:tcPr>
          <w:p w:rsidR="00783024" w:rsidRDefault="00783024" w:rsidP="00852DEA">
            <w:pPr>
              <w:jc w:val="center"/>
            </w:pPr>
            <w:proofErr w:type="spellStart"/>
            <w:r>
              <w:t>Sul</w:t>
            </w:r>
            <w:r w:rsidR="00C53B38">
              <w:t>ph</w:t>
            </w:r>
            <w:r>
              <w:t>ur</w:t>
            </w:r>
            <w:proofErr w:type="spellEnd"/>
          </w:p>
        </w:tc>
        <w:tc>
          <w:tcPr>
            <w:tcW w:w="1292" w:type="dxa"/>
            <w:vAlign w:val="center"/>
          </w:tcPr>
          <w:p w:rsidR="00783024" w:rsidRPr="00291309" w:rsidRDefault="00783024" w:rsidP="00783024">
            <w:pPr>
              <w:jc w:val="center"/>
            </w:pPr>
            <w:r>
              <w:t>[Ne]3s</w:t>
            </w:r>
            <w:r>
              <w:rPr>
                <w:vertAlign w:val="superscript"/>
              </w:rPr>
              <w:t xml:space="preserve">2 </w:t>
            </w:r>
            <w:r w:rsidRPr="00783024">
              <w:t>3</w:t>
            </w:r>
            <w:r>
              <w:t>p</w:t>
            </w:r>
            <w:r w:rsidRPr="00291309">
              <w:rPr>
                <w:vertAlign w:val="superscript"/>
              </w:rPr>
              <w:t>4</w:t>
            </w:r>
          </w:p>
        </w:tc>
        <w:tc>
          <w:tcPr>
            <w:tcW w:w="1181" w:type="dxa"/>
            <w:vAlign w:val="center"/>
          </w:tcPr>
          <w:p w:rsidR="00783024" w:rsidRDefault="00783024" w:rsidP="00783024">
            <w:pPr>
              <w:jc w:val="center"/>
            </w:pPr>
            <w:r>
              <w:t>-II, IV, VI</w:t>
            </w:r>
          </w:p>
        </w:tc>
        <w:tc>
          <w:tcPr>
            <w:tcW w:w="1659" w:type="dxa"/>
            <w:vAlign w:val="center"/>
          </w:tcPr>
          <w:p w:rsidR="00783024" w:rsidRDefault="00783024" w:rsidP="00852DEA">
            <w:pPr>
              <w:jc w:val="center"/>
            </w:pPr>
            <w:r>
              <w:t>2,4</w:t>
            </w:r>
          </w:p>
        </w:tc>
        <w:tc>
          <w:tcPr>
            <w:tcW w:w="949" w:type="dxa"/>
            <w:vAlign w:val="center"/>
          </w:tcPr>
          <w:p w:rsidR="00783024" w:rsidRDefault="00783024" w:rsidP="00783024">
            <w:pPr>
              <w:jc w:val="center"/>
            </w:pPr>
            <w:r>
              <w:t>119</w:t>
            </w:r>
            <w:bookmarkStart w:id="0" w:name="_Ref333340074"/>
            <w:r>
              <w:rPr>
                <w:rStyle w:val="Znakapoznpodarou"/>
              </w:rPr>
              <w:footnoteReference w:id="1"/>
            </w:r>
            <w:bookmarkEnd w:id="0"/>
            <w:r>
              <w:t xml:space="preserve"> </w:t>
            </w:r>
          </w:p>
        </w:tc>
        <w:tc>
          <w:tcPr>
            <w:tcW w:w="889" w:type="dxa"/>
            <w:vAlign w:val="center"/>
          </w:tcPr>
          <w:p w:rsidR="00783024" w:rsidRDefault="00783024" w:rsidP="00783024">
            <w:pPr>
              <w:jc w:val="center"/>
            </w:pPr>
            <w:r>
              <w:t>445</w:t>
            </w:r>
            <w:fldSimple w:instr=" NOTEREF _Ref333340074 \h  \* MERGEFORMAT ">
              <w:r w:rsidR="00835179" w:rsidRPr="00835179">
                <w:rPr>
                  <w:vertAlign w:val="superscript"/>
                </w:rPr>
                <w:t>1</w:t>
              </w:r>
            </w:fldSimple>
          </w:p>
        </w:tc>
      </w:tr>
    </w:tbl>
    <w:p w:rsidR="00783024" w:rsidRDefault="008A5B43" w:rsidP="00783024">
      <w:pPr>
        <w:spacing w:before="240" w:line="360" w:lineRule="auto"/>
        <w:jc w:val="both"/>
      </w:pPr>
      <w:r w:rsidRPr="008A5B43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73.25pt;width:259.3pt;height:135.2pt;z-index:251661312;mso-position-horizontal-relative:text;mso-position-vertical-relative:text" stroked="f">
            <v:textbox style="mso-next-textbox:#_x0000_s1029">
              <w:txbxContent>
                <w:tbl>
                  <w:tblPr>
                    <w:tblStyle w:val="Mkatabulky"/>
                    <w:tblW w:w="5070" w:type="dxa"/>
                    <w:tblLayout w:type="fixed"/>
                    <w:tblLook w:val="04A0"/>
                  </w:tblPr>
                  <w:tblGrid>
                    <w:gridCol w:w="107"/>
                    <w:gridCol w:w="181"/>
                    <w:gridCol w:w="264"/>
                    <w:gridCol w:w="264"/>
                    <w:gridCol w:w="264"/>
                    <w:gridCol w:w="264"/>
                    <w:gridCol w:w="264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86"/>
                    <w:gridCol w:w="287"/>
                    <w:gridCol w:w="287"/>
                    <w:gridCol w:w="444"/>
                    <w:gridCol w:w="287"/>
                    <w:gridCol w:w="9"/>
                    <w:gridCol w:w="284"/>
                  </w:tblGrid>
                  <w:tr w:rsidR="002E22DE" w:rsidTr="00852DEA">
                    <w:trPr>
                      <w:gridBefore w:val="1"/>
                      <w:wBefore w:w="107" w:type="dxa"/>
                      <w:trHeight w:val="283"/>
                    </w:trPr>
                    <w:tc>
                      <w:tcPr>
                        <w:tcW w:w="4963" w:type="dxa"/>
                        <w:gridSpan w:val="1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2E22DE" w:rsidRDefault="002E22DE" w:rsidP="00852DEA">
                        <w:pPr>
                          <w:ind w:left="-108"/>
                        </w:pPr>
                      </w:p>
                    </w:tc>
                  </w:tr>
                  <w:tr w:rsidR="002E22DE" w:rsidTr="00852DEA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  <w:shd w:val="clear" w:color="auto" w:fill="auto"/>
                        <w:vAlign w:val="center"/>
                      </w:tcPr>
                      <w:p w:rsidR="002E22DE" w:rsidRPr="00B81094" w:rsidRDefault="002E22DE" w:rsidP="00852DE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498" w:type="dxa"/>
                        <w:gridSpan w:val="17"/>
                        <w:tcBorders>
                          <w:top w:val="nil"/>
                          <w:bottom w:val="nil"/>
                        </w:tcBorders>
                      </w:tcPr>
                      <w:p w:rsidR="002E22DE" w:rsidRDefault="002E22DE" w:rsidP="00852DEA">
                        <w:r>
                          <w:t xml:space="preserve">                                                                    </w:t>
                        </w:r>
                        <w:r w:rsidRPr="00291309">
                          <w:rPr>
                            <w:sz w:val="16"/>
                          </w:rPr>
                          <w:t>VI.A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E22DE" w:rsidRDefault="002E22DE" w:rsidP="00852DEA">
                        <w:r>
                          <w:t xml:space="preserve">       </w:t>
                        </w:r>
                      </w:p>
                    </w:tc>
                  </w:tr>
                  <w:tr w:rsidR="002E22DE" w:rsidTr="00783024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</w:tcPr>
                      <w:p w:rsidR="002E22DE" w:rsidRDefault="002E22DE" w:rsidP="00852DEA"/>
                    </w:tc>
                    <w:tc>
                      <w:tcPr>
                        <w:tcW w:w="2634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2E22DE" w:rsidRDefault="002E22DE" w:rsidP="00852DEA"/>
                    </w:tc>
                    <w:tc>
                      <w:tcPr>
                        <w:tcW w:w="286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444" w:type="dxa"/>
                        <w:shd w:val="clear" w:color="auto" w:fill="auto"/>
                        <w:vAlign w:val="center"/>
                      </w:tcPr>
                      <w:p w:rsidR="002E22DE" w:rsidRPr="00291309" w:rsidRDefault="002E22DE" w:rsidP="00852DE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91309">
                          <w:rPr>
                            <w:sz w:val="16"/>
                            <w:szCs w:val="16"/>
                          </w:rPr>
                          <w:t>O</w:t>
                        </w:r>
                      </w:p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93" w:type="dxa"/>
                        <w:gridSpan w:val="2"/>
                      </w:tcPr>
                      <w:p w:rsidR="002E22DE" w:rsidRDefault="002E22DE" w:rsidP="00852DEA"/>
                    </w:tc>
                  </w:tr>
                  <w:tr w:rsidR="002E22DE" w:rsidTr="00783024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</w:tcPr>
                      <w:p w:rsidR="002E22DE" w:rsidRDefault="002E22DE" w:rsidP="00852DEA"/>
                    </w:tc>
                    <w:tc>
                      <w:tcPr>
                        <w:tcW w:w="2634" w:type="dxa"/>
                        <w:gridSpan w:val="10"/>
                        <w:tcBorders>
                          <w:top w:val="nil"/>
                        </w:tcBorders>
                      </w:tcPr>
                      <w:p w:rsidR="002E22DE" w:rsidRDefault="002E22DE" w:rsidP="00852DEA"/>
                    </w:tc>
                    <w:tc>
                      <w:tcPr>
                        <w:tcW w:w="286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444" w:type="dxa"/>
                        <w:shd w:val="clear" w:color="auto" w:fill="FBD4B4" w:themeFill="accent6" w:themeFillTint="66"/>
                        <w:vAlign w:val="center"/>
                      </w:tcPr>
                      <w:p w:rsidR="002E22DE" w:rsidRPr="00352649" w:rsidRDefault="002E22DE" w:rsidP="00852DEA">
                        <w:pPr>
                          <w:jc w:val="center"/>
                          <w:rPr>
                            <w:sz w:val="16"/>
                          </w:rPr>
                        </w:pPr>
                        <w:r w:rsidRPr="00352649">
                          <w:rPr>
                            <w:sz w:val="16"/>
                          </w:rPr>
                          <w:t>S</w:t>
                        </w:r>
                      </w:p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93" w:type="dxa"/>
                        <w:gridSpan w:val="2"/>
                      </w:tcPr>
                      <w:p w:rsidR="002E22DE" w:rsidRDefault="002E22DE" w:rsidP="00852DEA"/>
                    </w:tc>
                  </w:tr>
                  <w:tr w:rsidR="002E22DE" w:rsidTr="00852DEA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86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444" w:type="dxa"/>
                        <w:vAlign w:val="center"/>
                      </w:tcPr>
                      <w:p w:rsidR="002E22DE" w:rsidRPr="00352649" w:rsidRDefault="002E22DE" w:rsidP="00852DEA">
                        <w:pPr>
                          <w:jc w:val="center"/>
                          <w:rPr>
                            <w:sz w:val="16"/>
                          </w:rPr>
                        </w:pPr>
                        <w:r w:rsidRPr="00352649">
                          <w:rPr>
                            <w:sz w:val="16"/>
                          </w:rPr>
                          <w:t>Se</w:t>
                        </w:r>
                      </w:p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93" w:type="dxa"/>
                        <w:gridSpan w:val="2"/>
                      </w:tcPr>
                      <w:p w:rsidR="002E22DE" w:rsidRDefault="002E22DE" w:rsidP="00852DEA"/>
                    </w:tc>
                  </w:tr>
                  <w:tr w:rsidR="002E22DE" w:rsidTr="00852DEA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86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444" w:type="dxa"/>
                        <w:vAlign w:val="center"/>
                      </w:tcPr>
                      <w:p w:rsidR="002E22DE" w:rsidRPr="00352649" w:rsidRDefault="002E22DE" w:rsidP="00852DEA">
                        <w:pPr>
                          <w:jc w:val="center"/>
                          <w:rPr>
                            <w:sz w:val="16"/>
                          </w:rPr>
                        </w:pPr>
                        <w:r w:rsidRPr="00352649">
                          <w:rPr>
                            <w:sz w:val="16"/>
                          </w:rPr>
                          <w:t>Te</w:t>
                        </w:r>
                      </w:p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93" w:type="dxa"/>
                        <w:gridSpan w:val="2"/>
                      </w:tcPr>
                      <w:p w:rsidR="002E22DE" w:rsidRDefault="002E22DE" w:rsidP="00852DEA"/>
                    </w:tc>
                  </w:tr>
                  <w:tr w:rsidR="002E22DE" w:rsidTr="00852DEA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86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444" w:type="dxa"/>
                        <w:vAlign w:val="center"/>
                      </w:tcPr>
                      <w:p w:rsidR="002E22DE" w:rsidRPr="00352649" w:rsidRDefault="002E22DE" w:rsidP="00852DEA">
                        <w:pPr>
                          <w:jc w:val="center"/>
                          <w:rPr>
                            <w:sz w:val="16"/>
                          </w:rPr>
                        </w:pPr>
                        <w:r w:rsidRPr="00352649">
                          <w:rPr>
                            <w:sz w:val="16"/>
                          </w:rPr>
                          <w:t>Po</w:t>
                        </w:r>
                      </w:p>
                    </w:tc>
                    <w:tc>
                      <w:tcPr>
                        <w:tcW w:w="287" w:type="dxa"/>
                      </w:tcPr>
                      <w:p w:rsidR="002E22DE" w:rsidRDefault="002E22DE" w:rsidP="00852DEA"/>
                    </w:tc>
                    <w:tc>
                      <w:tcPr>
                        <w:tcW w:w="293" w:type="dxa"/>
                        <w:gridSpan w:val="2"/>
                      </w:tcPr>
                      <w:p w:rsidR="002E22DE" w:rsidRDefault="002E22DE" w:rsidP="00852DEA"/>
                    </w:tc>
                  </w:tr>
                  <w:tr w:rsidR="002E22DE" w:rsidTr="00852DEA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2E22DE" w:rsidRDefault="002E22DE" w:rsidP="00852DEA"/>
                    </w:tc>
                    <w:tc>
                      <w:tcPr>
                        <w:tcW w:w="3990" w:type="dxa"/>
                        <w:gridSpan w:val="15"/>
                        <w:tcBorders>
                          <w:bottom w:val="nil"/>
                          <w:right w:val="nil"/>
                        </w:tcBorders>
                      </w:tcPr>
                      <w:p w:rsidR="002E22DE" w:rsidRDefault="002E22DE" w:rsidP="00852DEA"/>
                    </w:tc>
                  </w:tr>
                </w:tbl>
                <w:p w:rsidR="002E22DE" w:rsidRDefault="002E22DE" w:rsidP="00783024"/>
              </w:txbxContent>
            </v:textbox>
          </v:shape>
        </w:pict>
      </w:r>
      <w:r w:rsidR="00783024">
        <w:t xml:space="preserve">Je </w:t>
      </w:r>
      <w:r w:rsidR="00783024">
        <w:rPr>
          <w:i/>
        </w:rPr>
        <w:t>druhým</w:t>
      </w:r>
      <w:r w:rsidR="00783024">
        <w:t xml:space="preserve"> prvkem VI. A (16. skupiny) periodické soustavy prvků, označované jako </w:t>
      </w:r>
      <w:r w:rsidR="00783024" w:rsidRPr="00C77DB8">
        <w:rPr>
          <w:i/>
        </w:rPr>
        <w:t>chalkogeny</w:t>
      </w:r>
      <w:r w:rsidR="00783024">
        <w:t xml:space="preserve">. </w:t>
      </w:r>
      <w:r w:rsidR="00C53B38">
        <w:t xml:space="preserve">Do této skupiny dále patří prvky kyslík O, selen Se, tellur </w:t>
      </w:r>
      <w:proofErr w:type="spellStart"/>
      <w:r w:rsidR="00C53B38">
        <w:t>Te</w:t>
      </w:r>
      <w:proofErr w:type="spellEnd"/>
      <w:r w:rsidR="00C53B38">
        <w:t xml:space="preserve"> a radioaktivní polonium </w:t>
      </w:r>
      <w:proofErr w:type="gramStart"/>
      <w:r w:rsidR="00C53B38">
        <w:t>Po</w:t>
      </w:r>
      <w:proofErr w:type="gramEnd"/>
      <w:r w:rsidR="00C53B38">
        <w:t xml:space="preserve">. </w:t>
      </w:r>
      <w:r w:rsidR="00DD151F">
        <w:t>Ve v</w:t>
      </w:r>
      <w:r w:rsidR="00C53B38">
        <w:t>alenční vrstv</w:t>
      </w:r>
      <w:r w:rsidR="00DD151F">
        <w:t>ě</w:t>
      </w:r>
      <w:r w:rsidR="00C53B38">
        <w:t xml:space="preserve"> ns</w:t>
      </w:r>
      <w:r w:rsidR="00C53B38" w:rsidRPr="00C53B38">
        <w:rPr>
          <w:vertAlign w:val="superscript"/>
        </w:rPr>
        <w:t>2</w:t>
      </w:r>
      <w:r w:rsidR="00C53B38">
        <w:t xml:space="preserve"> np</w:t>
      </w:r>
      <w:r w:rsidR="00C53B38" w:rsidRPr="00C53B38">
        <w:rPr>
          <w:vertAlign w:val="superscript"/>
        </w:rPr>
        <w:t>4</w:t>
      </w:r>
      <w:r w:rsidR="00C53B38">
        <w:t xml:space="preserve"> mají šest valenčních elektronů.</w:t>
      </w: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5F08A7" w:rsidRDefault="008A5B43" w:rsidP="00783024">
      <w:pPr>
        <w:spacing w:before="240" w:line="360" w:lineRule="auto"/>
        <w:jc w:val="both"/>
      </w:pPr>
      <w:r>
        <w:rPr>
          <w:noProof/>
        </w:rPr>
        <w:pict>
          <v:shape id="_x0000_s1030" type="#_x0000_t202" style="position:absolute;left:0;text-align:left;margin-left:0;margin-top:29.7pt;width:232.85pt;height:20.35pt;z-index:251662336" stroked="f">
            <v:textbox style="mso-fit-shape-to-text:t" inset="0,0,0,0">
              <w:txbxContent>
                <w:p w:rsidR="002E22DE" w:rsidRPr="00552401" w:rsidRDefault="002E22DE" w:rsidP="00783024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8A5B43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8A5B43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="00835179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8A5B43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síry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</w:p>
    <w:p w:rsidR="00783024" w:rsidRDefault="00783024" w:rsidP="00783024">
      <w:pPr>
        <w:spacing w:before="240" w:line="360" w:lineRule="auto"/>
        <w:jc w:val="both"/>
      </w:pPr>
    </w:p>
    <w:p w:rsidR="005F08A7" w:rsidRPr="00E67C72" w:rsidRDefault="005F08A7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>Výskyt</w:t>
      </w:r>
    </w:p>
    <w:p w:rsidR="00B20CDB" w:rsidRDefault="00C53B38" w:rsidP="00B20CDB">
      <w:pPr>
        <w:spacing w:line="360" w:lineRule="auto"/>
        <w:jc w:val="both"/>
      </w:pPr>
      <w:r>
        <w:t xml:space="preserve">Síra se v přírodě nachází volná i vázaná v anorganických a organických sloučeninách. </w:t>
      </w:r>
      <w:r w:rsidR="00B20CDB">
        <w:t xml:space="preserve">Je známo </w:t>
      </w:r>
      <w:r w:rsidR="00573531">
        <w:t>několik alotrop</w:t>
      </w:r>
      <w:r w:rsidR="008474E0">
        <w:t>ických</w:t>
      </w:r>
      <w:r>
        <w:t xml:space="preserve"> modifikací</w:t>
      </w:r>
      <w:r w:rsidR="00B20CDB">
        <w:t>:</w:t>
      </w:r>
    </w:p>
    <w:p w:rsidR="00B20CDB" w:rsidRDefault="00573531" w:rsidP="00B20CDB">
      <w:pPr>
        <w:pStyle w:val="Odstavecseseznamem"/>
        <w:numPr>
          <w:ilvl w:val="0"/>
          <w:numId w:val="6"/>
        </w:numPr>
        <w:spacing w:line="360" w:lineRule="auto"/>
        <w:jc w:val="both"/>
      </w:pPr>
      <w:r w:rsidRPr="00B20CDB">
        <w:rPr>
          <w:i/>
        </w:rPr>
        <w:t>Krystalická</w:t>
      </w:r>
      <w:r>
        <w:t xml:space="preserve"> </w:t>
      </w:r>
      <w:r w:rsidR="00B20CDB">
        <w:t>síra</w:t>
      </w:r>
      <w:r>
        <w:t>, v níž tvoří osmi</w:t>
      </w:r>
      <w:r w:rsidR="00EC4A31">
        <w:t xml:space="preserve"> </w:t>
      </w:r>
      <w:r>
        <w:t>atomové molekuly uspořádané do kruhu S</w:t>
      </w:r>
      <w:r w:rsidRPr="00B20CDB">
        <w:rPr>
          <w:vertAlign w:val="subscript"/>
        </w:rPr>
        <w:t>8</w:t>
      </w:r>
      <w:r>
        <w:t xml:space="preserve">. </w:t>
      </w:r>
    </w:p>
    <w:p w:rsidR="00B20CDB" w:rsidRDefault="00B20CDB" w:rsidP="00B20CDB">
      <w:pPr>
        <w:pStyle w:val="Odstavecseseznamem"/>
        <w:numPr>
          <w:ilvl w:val="0"/>
          <w:numId w:val="6"/>
        </w:numPr>
        <w:spacing w:line="360" w:lineRule="auto"/>
        <w:jc w:val="both"/>
      </w:pPr>
      <w:r w:rsidRPr="00B20CDB">
        <w:rPr>
          <w:i/>
        </w:rPr>
        <w:t>Amorfní</w:t>
      </w:r>
      <w:r>
        <w:t xml:space="preserve"> síra, která vzniká rychlým ochlazením jejich par – </w:t>
      </w:r>
      <w:r w:rsidRPr="00B20CDB">
        <w:rPr>
          <w:i/>
        </w:rPr>
        <w:t>sirný</w:t>
      </w:r>
      <w:r>
        <w:t xml:space="preserve"> </w:t>
      </w:r>
      <w:r w:rsidRPr="00B20CDB">
        <w:rPr>
          <w:i/>
        </w:rPr>
        <w:t>květ</w:t>
      </w:r>
      <w:r>
        <w:t xml:space="preserve">, nebo rychlým ochlazením její taveniny – </w:t>
      </w:r>
      <w:r w:rsidRPr="00B20CDB">
        <w:rPr>
          <w:i/>
        </w:rPr>
        <w:t>plastická</w:t>
      </w:r>
      <w:r>
        <w:t xml:space="preserve"> </w:t>
      </w:r>
      <w:r w:rsidRPr="00B20CDB">
        <w:rPr>
          <w:i/>
        </w:rPr>
        <w:t>síra</w:t>
      </w:r>
      <w:r>
        <w:t>.</w:t>
      </w:r>
    </w:p>
    <w:p w:rsidR="00852DEA" w:rsidRPr="00852DEA" w:rsidRDefault="00631619" w:rsidP="00EB6A9D">
      <w:pPr>
        <w:spacing w:before="240" w:line="360" w:lineRule="auto"/>
      </w:pPr>
      <w:r>
        <w:t>Jako čistý prvek je síra součástí sopečných plynů (H</w:t>
      </w:r>
      <w:r w:rsidRPr="00852DEA">
        <w:rPr>
          <w:vertAlign w:val="subscript"/>
        </w:rPr>
        <w:t>2</w:t>
      </w:r>
      <w:r>
        <w:t>S, SO</w:t>
      </w:r>
      <w:r w:rsidRPr="00852DEA">
        <w:rPr>
          <w:vertAlign w:val="subscript"/>
        </w:rPr>
        <w:t>2</w:t>
      </w:r>
      <w:r>
        <w:t>). Nacházíme ji v blízkosti sopek a okolí horkých minerálních pramenů. Vázaná se nejčastěji vyskytuje ve formě sulfidů a síranů</w:t>
      </w:r>
      <w:r w:rsidR="00852DEA">
        <w:t xml:space="preserve"> (</w:t>
      </w:r>
      <w:r w:rsidR="00852DEA" w:rsidRPr="00852DEA">
        <w:rPr>
          <w:iCs/>
        </w:rPr>
        <w:t>sulfid zinečnatý</w:t>
      </w:r>
      <w:r w:rsidR="00852DEA" w:rsidRPr="00852DEA">
        <w:rPr>
          <w:i/>
          <w:iCs/>
        </w:rPr>
        <w:t xml:space="preserve"> – </w:t>
      </w:r>
      <w:r w:rsidR="00852DEA" w:rsidRPr="00852DEA">
        <w:rPr>
          <w:bCs/>
          <w:i/>
          <w:iCs/>
        </w:rPr>
        <w:t>sfalerit</w:t>
      </w:r>
      <w:r w:rsidR="00852DEA" w:rsidRPr="00852DEA">
        <w:rPr>
          <w:i/>
          <w:iCs/>
        </w:rPr>
        <w:t>,</w:t>
      </w:r>
      <w:r w:rsidR="00852DEA" w:rsidRPr="00852DEA">
        <w:rPr>
          <w:iCs/>
        </w:rPr>
        <w:t xml:space="preserve"> sulfid železnatý</w:t>
      </w:r>
      <w:r w:rsidR="00852DEA" w:rsidRPr="00852DEA">
        <w:rPr>
          <w:i/>
          <w:iCs/>
        </w:rPr>
        <w:t xml:space="preserve"> – </w:t>
      </w:r>
      <w:r w:rsidR="00852DEA" w:rsidRPr="00852DEA">
        <w:rPr>
          <w:bCs/>
          <w:i/>
          <w:iCs/>
        </w:rPr>
        <w:t>pyrit</w:t>
      </w:r>
      <w:r w:rsidR="00852DEA" w:rsidRPr="00852DEA">
        <w:rPr>
          <w:i/>
          <w:iCs/>
        </w:rPr>
        <w:t>,</w:t>
      </w:r>
      <w:r w:rsidR="00852DEA" w:rsidRPr="00852DEA">
        <w:rPr>
          <w:iCs/>
        </w:rPr>
        <w:t xml:space="preserve"> sulfid olovnatý</w:t>
      </w:r>
      <w:r w:rsidR="00852DEA" w:rsidRPr="00852DEA">
        <w:rPr>
          <w:i/>
          <w:iCs/>
        </w:rPr>
        <w:t xml:space="preserve"> - </w:t>
      </w:r>
      <w:r w:rsidR="00852DEA" w:rsidRPr="00852DEA">
        <w:rPr>
          <w:bCs/>
          <w:i/>
          <w:iCs/>
        </w:rPr>
        <w:t>galenit</w:t>
      </w:r>
      <w:r w:rsidR="00852DEA" w:rsidRPr="00852DEA">
        <w:rPr>
          <w:i/>
          <w:iCs/>
        </w:rPr>
        <w:t>,</w:t>
      </w:r>
      <w:r w:rsidR="00852DEA" w:rsidRPr="00852DEA">
        <w:rPr>
          <w:iCs/>
        </w:rPr>
        <w:t xml:space="preserve"> sulfid rtuťnatý</w:t>
      </w:r>
      <w:r w:rsidR="00852DEA" w:rsidRPr="00852DEA">
        <w:rPr>
          <w:i/>
          <w:iCs/>
        </w:rPr>
        <w:t xml:space="preserve"> – </w:t>
      </w:r>
      <w:r w:rsidR="00852DEA" w:rsidRPr="00852DEA">
        <w:rPr>
          <w:bCs/>
          <w:i/>
          <w:iCs/>
        </w:rPr>
        <w:t>cinabarit</w:t>
      </w:r>
      <w:r w:rsidR="00852DEA">
        <w:rPr>
          <w:i/>
          <w:iCs/>
        </w:rPr>
        <w:t xml:space="preserve"> </w:t>
      </w:r>
      <w:r w:rsidR="00EC4A31">
        <w:rPr>
          <w:i/>
          <w:iCs/>
        </w:rPr>
        <w:t>(rumělka</w:t>
      </w:r>
      <w:r w:rsidR="00852DEA" w:rsidRPr="00852DEA">
        <w:rPr>
          <w:i/>
          <w:iCs/>
        </w:rPr>
        <w:t>)</w:t>
      </w:r>
      <w:r w:rsidR="00EC4A31">
        <w:rPr>
          <w:i/>
          <w:iCs/>
        </w:rPr>
        <w:t>,</w:t>
      </w:r>
      <w:r w:rsidR="00852DEA" w:rsidRPr="00852DEA">
        <w:rPr>
          <w:i/>
          <w:iCs/>
        </w:rPr>
        <w:t xml:space="preserve"> </w:t>
      </w:r>
      <w:r w:rsidR="00852DEA" w:rsidRPr="00852DEA">
        <w:rPr>
          <w:iCs/>
        </w:rPr>
        <w:t>směsný sulfid mědi a železa</w:t>
      </w:r>
      <w:r w:rsidR="00852DEA" w:rsidRPr="00852DEA">
        <w:rPr>
          <w:i/>
          <w:iCs/>
        </w:rPr>
        <w:t xml:space="preserve"> – </w:t>
      </w:r>
      <w:r w:rsidR="00852DEA" w:rsidRPr="00852DEA">
        <w:rPr>
          <w:bCs/>
          <w:i/>
          <w:iCs/>
        </w:rPr>
        <w:t>chalkopyrit</w:t>
      </w:r>
      <w:r w:rsidR="00852DEA" w:rsidRPr="00852DEA">
        <w:rPr>
          <w:i/>
          <w:iCs/>
        </w:rPr>
        <w:t>,</w:t>
      </w:r>
      <w:r w:rsidR="00852DEA">
        <w:rPr>
          <w:i/>
          <w:iCs/>
        </w:rPr>
        <w:t xml:space="preserve"> </w:t>
      </w:r>
      <w:r w:rsidR="00852DEA" w:rsidRPr="00852DEA">
        <w:rPr>
          <w:iCs/>
        </w:rPr>
        <w:t xml:space="preserve">síran vápenatý </w:t>
      </w:r>
      <w:proofErr w:type="spellStart"/>
      <w:r w:rsidR="007C74AF">
        <w:rPr>
          <w:iCs/>
        </w:rPr>
        <w:t>dihydrát</w:t>
      </w:r>
      <w:proofErr w:type="spellEnd"/>
      <w:r w:rsidR="007C74AF">
        <w:rPr>
          <w:iCs/>
        </w:rPr>
        <w:t xml:space="preserve"> </w:t>
      </w:r>
      <w:r w:rsidR="00852DEA">
        <w:rPr>
          <w:i/>
          <w:iCs/>
        </w:rPr>
        <w:t>–</w:t>
      </w:r>
      <w:r w:rsidR="00852DEA" w:rsidRPr="00852DEA">
        <w:rPr>
          <w:i/>
          <w:iCs/>
        </w:rPr>
        <w:t xml:space="preserve"> </w:t>
      </w:r>
      <w:r w:rsidR="00852DEA" w:rsidRPr="00852DEA">
        <w:rPr>
          <w:bCs/>
          <w:i/>
          <w:iCs/>
        </w:rPr>
        <w:t>sádrovec</w:t>
      </w:r>
      <w:r w:rsidR="00852DEA">
        <w:rPr>
          <w:bCs/>
          <w:i/>
          <w:iCs/>
        </w:rPr>
        <w:t>)</w:t>
      </w:r>
      <w:r w:rsidR="00852DEA">
        <w:rPr>
          <w:b/>
          <w:bCs/>
          <w:i/>
          <w:iCs/>
        </w:rPr>
        <w:t>.</w:t>
      </w:r>
    </w:p>
    <w:p w:rsidR="00852DEA" w:rsidRPr="00852DEA" w:rsidRDefault="00852DEA" w:rsidP="00852DEA">
      <w:pPr>
        <w:spacing w:before="240" w:line="360" w:lineRule="auto"/>
      </w:pPr>
      <w:r w:rsidRPr="00852DEA">
        <w:lastRenderedPageBreak/>
        <w:t>Síra se v poměrně značném množství vyskytuje i v horninác</w:t>
      </w:r>
      <w:r w:rsidR="007C74AF">
        <w:t xml:space="preserve">h biologického původu – v uhlí, </w:t>
      </w:r>
      <w:r w:rsidRPr="00852DEA">
        <w:t>ropě</w:t>
      </w:r>
      <w:r w:rsidR="007C74AF">
        <w:t xml:space="preserve"> a zemním plynu</w:t>
      </w:r>
      <w:r w:rsidRPr="00852DEA">
        <w:t xml:space="preserve">. </w:t>
      </w:r>
    </w:p>
    <w:p w:rsidR="00852DEA" w:rsidRDefault="00631619" w:rsidP="00852DEA">
      <w:pPr>
        <w:spacing w:line="360" w:lineRule="auto"/>
      </w:pPr>
      <w:r>
        <w:t>Síra je biogenní prvek.</w:t>
      </w:r>
      <w:r w:rsidR="00852DEA">
        <w:t xml:space="preserve"> Je vázaná v bílkovinách.</w:t>
      </w:r>
    </w:p>
    <w:p w:rsidR="00390FD0" w:rsidRDefault="00390FD0" w:rsidP="00852DEA">
      <w:pPr>
        <w:spacing w:line="360" w:lineRule="auto"/>
      </w:pPr>
      <w:r>
        <w:t xml:space="preserve">V přírodě existují i sirné bakterie, které jako zdroj energie využívají sirné sloučeniny. Tyto sloučeniny rozkládají a volná síra </w:t>
      </w:r>
      <w:r w:rsidR="00E96B3D">
        <w:t xml:space="preserve">je </w:t>
      </w:r>
      <w:r w:rsidR="00E213BB">
        <w:t>pak součástí těchto sirných vod</w:t>
      </w:r>
      <w:r>
        <w:t>.</w:t>
      </w:r>
    </w:p>
    <w:p w:rsidR="006C41D8" w:rsidRPr="00E67C72" w:rsidRDefault="006C41D8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 xml:space="preserve">Vlastnosti </w:t>
      </w:r>
    </w:p>
    <w:p w:rsidR="009378BD" w:rsidRDefault="009378BD" w:rsidP="006C41D8">
      <w:pPr>
        <w:spacing w:before="240" w:line="360" w:lineRule="auto"/>
        <w:jc w:val="both"/>
        <w:rPr>
          <w:rFonts w:ascii="Trebuchet MS" w:eastAsia="+mn-ea" w:hAnsi="Trebuchet MS" w:cs="+mn-cs"/>
          <w:b/>
          <w:bCs/>
          <w:shadow/>
          <w:color w:val="FFFF66"/>
          <w:sz w:val="64"/>
          <w:szCs w:val="64"/>
        </w:rPr>
      </w:pPr>
      <w:r>
        <w:t>Síra je žlutá, křehká krystalická látka. Je nerozpustná ve vodě, ale dobře rozpustná v nepolárních rozpouštědlech (např. sirouhlíku CS</w:t>
      </w:r>
      <w:r w:rsidRPr="009378BD">
        <w:rPr>
          <w:vertAlign w:val="subscript"/>
        </w:rPr>
        <w:t>2</w:t>
      </w:r>
      <w:r>
        <w:t>). Za normální teploty je poměrně stálá, ale po zahřátí reaguje s většinou kovů i nekovů. V reakcích má oxidační i redukční účinky:</w:t>
      </w:r>
      <w:r w:rsidRPr="009378BD">
        <w:rPr>
          <w:rFonts w:ascii="Trebuchet MS" w:eastAsia="+mn-ea" w:hAnsi="Trebuchet MS" w:cs="+mn-cs"/>
          <w:b/>
          <w:bCs/>
          <w:shadow/>
          <w:color w:val="FFFF66"/>
          <w:sz w:val="64"/>
          <w:szCs w:val="64"/>
        </w:rPr>
        <w:t xml:space="preserve"> </w:t>
      </w:r>
    </w:p>
    <w:p w:rsidR="006C41D8" w:rsidRPr="009378BD" w:rsidRDefault="009378BD" w:rsidP="00E213BB">
      <w:pPr>
        <w:spacing w:before="120" w:line="360" w:lineRule="auto"/>
      </w:pPr>
      <w:proofErr w:type="spellStart"/>
      <w:r w:rsidRPr="009378BD">
        <w:rPr>
          <w:bCs/>
        </w:rPr>
        <w:t>Fe</w:t>
      </w:r>
      <w:proofErr w:type="spellEnd"/>
      <w:r w:rsidRPr="009378BD">
        <w:rPr>
          <w:bCs/>
        </w:rPr>
        <w:t xml:space="preserve"> + 2 S → FeS</w:t>
      </w:r>
      <w:r w:rsidRPr="009378BD">
        <w:rPr>
          <w:bCs/>
          <w:vertAlign w:val="subscript"/>
        </w:rPr>
        <w:t>2</w:t>
      </w:r>
      <w:r w:rsidRPr="009378BD">
        <w:rPr>
          <w:bCs/>
        </w:rPr>
        <w:br/>
        <w:t>S + 2 HNO</w:t>
      </w:r>
      <w:r w:rsidRPr="009378BD">
        <w:rPr>
          <w:bCs/>
          <w:vertAlign w:val="subscript"/>
        </w:rPr>
        <w:t>3</w:t>
      </w:r>
      <w:r w:rsidRPr="009378BD">
        <w:rPr>
          <w:bCs/>
        </w:rPr>
        <w:t xml:space="preserve"> → H</w:t>
      </w:r>
      <w:r w:rsidRPr="009378BD">
        <w:rPr>
          <w:bCs/>
          <w:vertAlign w:val="subscript"/>
        </w:rPr>
        <w:t>2</w:t>
      </w:r>
      <w:r w:rsidRPr="009378BD">
        <w:rPr>
          <w:bCs/>
        </w:rPr>
        <w:t>SO</w:t>
      </w:r>
      <w:r w:rsidRPr="009378BD">
        <w:rPr>
          <w:bCs/>
          <w:vertAlign w:val="subscript"/>
        </w:rPr>
        <w:t>4</w:t>
      </w:r>
      <w:r w:rsidRPr="009378BD">
        <w:rPr>
          <w:bCs/>
        </w:rPr>
        <w:t xml:space="preserve"> + 2 NO</w:t>
      </w:r>
    </w:p>
    <w:p w:rsidR="007C74AF" w:rsidRPr="00E213BB" w:rsidRDefault="009378BD" w:rsidP="00E213BB">
      <w:pPr>
        <w:spacing w:before="120" w:after="120" w:line="360" w:lineRule="auto"/>
        <w:jc w:val="both"/>
        <w:rPr>
          <w:rStyle w:val="st"/>
          <w:rFonts w:eastAsiaTheme="majorEastAsia"/>
        </w:rPr>
      </w:pPr>
      <w:r w:rsidRPr="00E213BB">
        <w:rPr>
          <w:rStyle w:val="st"/>
          <w:rFonts w:eastAsiaTheme="majorEastAsia"/>
        </w:rPr>
        <w:t>Hoří modrým plamenem na oxid siřičitý.</w:t>
      </w:r>
    </w:p>
    <w:p w:rsidR="007C74AF" w:rsidRPr="007C74AF" w:rsidRDefault="007C74AF" w:rsidP="007C74AF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7C74AF">
        <w:rPr>
          <w:b/>
        </w:rPr>
        <w:t>Výroba</w:t>
      </w:r>
    </w:p>
    <w:p w:rsidR="00AD0411" w:rsidRPr="00AD0411" w:rsidRDefault="007C74AF" w:rsidP="00E213BB">
      <w:pPr>
        <w:spacing w:before="240" w:after="120" w:line="360" w:lineRule="auto"/>
        <w:jc w:val="both"/>
      </w:pPr>
      <w:r>
        <w:rPr>
          <w:rStyle w:val="st"/>
          <w:rFonts w:eastAsiaTheme="majorEastAsia"/>
        </w:rPr>
        <w:t>Síra se získává</w:t>
      </w:r>
      <w:r w:rsidR="00EC4A31">
        <w:rPr>
          <w:rStyle w:val="st"/>
          <w:rFonts w:eastAsiaTheme="majorEastAsia"/>
        </w:rPr>
        <w:t xml:space="preserve"> z hornin, v nichž je rozptýlena</w:t>
      </w:r>
      <w:r>
        <w:rPr>
          <w:rStyle w:val="st"/>
          <w:rFonts w:eastAsiaTheme="majorEastAsia"/>
        </w:rPr>
        <w:t xml:space="preserve"> vytavováním horkou vodní parou. Do ložiska je systémem potrubí vháněna horká pára a stlačený vzduch, který vytlačuje roztavenou síru potrubím na povrch (těžba tzv.</w:t>
      </w:r>
      <w:r w:rsidRPr="007C74AF">
        <w:rPr>
          <w:rStyle w:val="st"/>
          <w:rFonts w:eastAsiaTheme="majorEastAsia"/>
        </w:rPr>
        <w:t xml:space="preserve"> </w:t>
      </w:r>
      <w:proofErr w:type="spellStart"/>
      <w:r w:rsidRPr="007C74AF">
        <w:rPr>
          <w:rFonts w:eastAsiaTheme="majorEastAsia"/>
          <w:bCs/>
        </w:rPr>
        <w:t>Frashovým</w:t>
      </w:r>
      <w:proofErr w:type="spellEnd"/>
      <w:r w:rsidRPr="007C74AF">
        <w:rPr>
          <w:rFonts w:eastAsiaTheme="majorEastAsia"/>
          <w:bCs/>
        </w:rPr>
        <w:t xml:space="preserve"> způsobem).</w:t>
      </w:r>
    </w:p>
    <w:p w:rsidR="00AD0411" w:rsidRPr="00E213BB" w:rsidRDefault="00390FD0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213BB">
        <w:rPr>
          <w:b/>
        </w:rPr>
        <w:t>Použití síry</w:t>
      </w:r>
    </w:p>
    <w:p w:rsidR="00390FD0" w:rsidRPr="00E213BB" w:rsidRDefault="00390FD0" w:rsidP="00E213BB">
      <w:pPr>
        <w:spacing w:before="240" w:after="120" w:line="360" w:lineRule="auto"/>
        <w:jc w:val="both"/>
      </w:pPr>
      <w:r w:rsidRPr="00E213BB">
        <w:t>Síra byla znám</w:t>
      </w:r>
      <w:r w:rsidR="00EC4A31" w:rsidRPr="00E213BB">
        <w:t>a</w:t>
      </w:r>
      <w:r w:rsidRPr="00E213BB">
        <w:t xml:space="preserve"> již v dávnověku a např. ve starověké Číně sloužila jako jedna ze složek střelného prachu. Jako součást různých výbušnin a zábavní pyrotechniky se síra používá dodnes.</w:t>
      </w:r>
    </w:p>
    <w:p w:rsidR="00390FD0" w:rsidRPr="00390FD0" w:rsidRDefault="00390FD0" w:rsidP="00390FD0">
      <w:pPr>
        <w:spacing w:before="120" w:after="120" w:line="360" w:lineRule="auto"/>
        <w:jc w:val="both"/>
        <w:rPr>
          <w:rStyle w:val="st"/>
          <w:rFonts w:eastAsiaTheme="majorEastAsia"/>
        </w:rPr>
      </w:pPr>
      <w:r w:rsidRPr="00390FD0">
        <w:rPr>
          <w:rStyle w:val="st"/>
          <w:rFonts w:eastAsiaTheme="majorEastAsia"/>
        </w:rPr>
        <w:t xml:space="preserve">V chemickém průmyslu se elementární síra používá především pro vulkanizaci kaučuku. Množství síry přidané do směsi pak určuje tvrdost získané </w:t>
      </w:r>
      <w:r>
        <w:rPr>
          <w:rStyle w:val="st"/>
          <w:rFonts w:eastAsiaTheme="majorEastAsia"/>
        </w:rPr>
        <w:t>pryže</w:t>
      </w:r>
      <w:r w:rsidRPr="00390FD0">
        <w:rPr>
          <w:rStyle w:val="st"/>
          <w:rFonts w:eastAsiaTheme="majorEastAsia"/>
        </w:rPr>
        <w:t>. Dále je elementární síra základní</w:t>
      </w:r>
      <w:r>
        <w:rPr>
          <w:rStyle w:val="st"/>
          <w:rFonts w:eastAsiaTheme="majorEastAsia"/>
        </w:rPr>
        <w:t xml:space="preserve"> chemickou</w:t>
      </w:r>
      <w:r w:rsidRPr="00390FD0">
        <w:rPr>
          <w:rStyle w:val="st"/>
          <w:rFonts w:eastAsiaTheme="majorEastAsia"/>
        </w:rPr>
        <w:t xml:space="preserve"> surovinou pro výrobu kyseliny sírové</w:t>
      </w:r>
      <w:r>
        <w:rPr>
          <w:rStyle w:val="st"/>
          <w:rFonts w:eastAsiaTheme="majorEastAsia"/>
        </w:rPr>
        <w:t>, sirouhlíku apod</w:t>
      </w:r>
      <w:r w:rsidRPr="00390FD0">
        <w:rPr>
          <w:rStyle w:val="st"/>
          <w:rFonts w:eastAsiaTheme="majorEastAsia"/>
        </w:rPr>
        <w:t>.</w:t>
      </w:r>
    </w:p>
    <w:p w:rsidR="002E22DE" w:rsidRDefault="00390FD0" w:rsidP="00390FD0">
      <w:pPr>
        <w:spacing w:before="120" w:after="120" w:line="360" w:lineRule="auto"/>
        <w:jc w:val="both"/>
        <w:rPr>
          <w:rStyle w:val="st"/>
          <w:rFonts w:eastAsiaTheme="majorEastAsia"/>
        </w:rPr>
      </w:pPr>
      <w:r w:rsidRPr="00390FD0">
        <w:rPr>
          <w:rStyle w:val="st"/>
          <w:rFonts w:eastAsiaTheme="majorEastAsia"/>
        </w:rPr>
        <w:t>Síra je významnou složkou různých</w:t>
      </w:r>
      <w:r w:rsidR="00E96B3D">
        <w:rPr>
          <w:rStyle w:val="st"/>
          <w:rFonts w:eastAsiaTheme="majorEastAsia"/>
        </w:rPr>
        <w:t xml:space="preserve"> </w:t>
      </w:r>
      <w:r w:rsidRPr="00390FD0">
        <w:rPr>
          <w:rStyle w:val="st"/>
          <w:rFonts w:eastAsiaTheme="majorEastAsia"/>
        </w:rPr>
        <w:t>fungicidů, tedy prostředků působících proti růstu hub a</w:t>
      </w:r>
      <w:r w:rsidR="00A47254">
        <w:rPr>
          <w:rStyle w:val="st"/>
          <w:rFonts w:eastAsiaTheme="majorEastAsia"/>
        </w:rPr>
        <w:t> </w:t>
      </w:r>
      <w:r w:rsidRPr="00390FD0">
        <w:rPr>
          <w:rStyle w:val="st"/>
          <w:rFonts w:eastAsiaTheme="majorEastAsia"/>
        </w:rPr>
        <w:t>plísní.</w:t>
      </w:r>
      <w:r>
        <w:rPr>
          <w:rStyle w:val="st"/>
          <w:rFonts w:eastAsiaTheme="majorEastAsia"/>
        </w:rPr>
        <w:t xml:space="preserve"> </w:t>
      </w:r>
    </w:p>
    <w:p w:rsidR="00E96B3D" w:rsidRDefault="00E96B3D" w:rsidP="00390FD0">
      <w:pPr>
        <w:spacing w:before="120" w:after="120" w:line="360" w:lineRule="auto"/>
        <w:jc w:val="both"/>
        <w:rPr>
          <w:rStyle w:val="st"/>
          <w:rFonts w:eastAsiaTheme="majorEastAsia"/>
        </w:rPr>
      </w:pPr>
      <w:r>
        <w:rPr>
          <w:rStyle w:val="st"/>
          <w:rFonts w:eastAsiaTheme="majorEastAsia"/>
        </w:rPr>
        <w:t>Síra se užívá v lékařství. Sirné mastě a koupele jsou důležitým léčebným prostředkem v</w:t>
      </w:r>
      <w:r w:rsidR="00A47254">
        <w:rPr>
          <w:rStyle w:val="st"/>
          <w:rFonts w:eastAsiaTheme="majorEastAsia"/>
        </w:rPr>
        <w:t> </w:t>
      </w:r>
      <w:r>
        <w:rPr>
          <w:rStyle w:val="st"/>
          <w:rFonts w:eastAsiaTheme="majorEastAsia"/>
        </w:rPr>
        <w:t>kožní</w:t>
      </w:r>
      <w:r w:rsidR="00A47254">
        <w:rPr>
          <w:rStyle w:val="st"/>
          <w:rFonts w:eastAsiaTheme="majorEastAsia"/>
        </w:rPr>
        <w:t xml:space="preserve"> medicíně</w:t>
      </w:r>
      <w:r>
        <w:rPr>
          <w:rStyle w:val="st"/>
          <w:rFonts w:eastAsiaTheme="majorEastAsia"/>
        </w:rPr>
        <w:t xml:space="preserve">, kde se uplatňují při léčbě </w:t>
      </w:r>
      <w:r w:rsidR="00A47254">
        <w:rPr>
          <w:rStyle w:val="st"/>
          <w:rFonts w:eastAsiaTheme="majorEastAsia"/>
        </w:rPr>
        <w:t xml:space="preserve">lupenky, akné a kožní alergie. Je součástí kosmetických i léčebných prostředků zajišťujících zdravý růst vlasů, nehtů, </w:t>
      </w:r>
      <w:r w:rsidR="00EC4A31">
        <w:rPr>
          <w:rStyle w:val="st"/>
          <w:rFonts w:eastAsiaTheme="majorEastAsia"/>
        </w:rPr>
        <w:t xml:space="preserve">dále i </w:t>
      </w:r>
      <w:r w:rsidR="00A47254">
        <w:rPr>
          <w:rStyle w:val="st"/>
          <w:rFonts w:eastAsiaTheme="majorEastAsia"/>
        </w:rPr>
        <w:t xml:space="preserve">prostředků napomáhajícím správnému </w:t>
      </w:r>
      <w:r w:rsidR="00A47254" w:rsidRPr="00A47254">
        <w:rPr>
          <w:rStyle w:val="Zvraznn"/>
          <w:i w:val="0"/>
        </w:rPr>
        <w:t>trávení</w:t>
      </w:r>
      <w:r w:rsidR="00A47254">
        <w:rPr>
          <w:rStyle w:val="st"/>
          <w:rFonts w:eastAsiaTheme="majorEastAsia"/>
        </w:rPr>
        <w:t xml:space="preserve"> a vylučování.</w:t>
      </w:r>
    </w:p>
    <w:p w:rsidR="009A05F8" w:rsidRDefault="00A47254" w:rsidP="00A4725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9A05F8">
        <w:rPr>
          <w:b/>
        </w:rPr>
        <w:lastRenderedPageBreak/>
        <w:t>Sloučeniny</w:t>
      </w:r>
    </w:p>
    <w:p w:rsidR="009A05F8" w:rsidRPr="009A05F8" w:rsidRDefault="009A05F8" w:rsidP="009A05F8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b/>
        </w:rPr>
      </w:pPr>
      <w:proofErr w:type="spellStart"/>
      <w:r w:rsidRPr="009A05F8">
        <w:rPr>
          <w:rFonts w:eastAsiaTheme="majorEastAsia"/>
          <w:b/>
          <w:bCs/>
        </w:rPr>
        <w:t>Sulfan</w:t>
      </w:r>
      <w:proofErr w:type="spellEnd"/>
      <w:r w:rsidRPr="009A05F8">
        <w:rPr>
          <w:rFonts w:eastAsiaTheme="majorEastAsia"/>
          <w:b/>
          <w:bCs/>
        </w:rPr>
        <w:t xml:space="preserve"> (sirovodík)</w:t>
      </w:r>
      <w:r w:rsidR="00A47254" w:rsidRPr="009A05F8">
        <w:rPr>
          <w:rFonts w:eastAsiaTheme="majorEastAsia"/>
          <w:b/>
          <w:bCs/>
        </w:rPr>
        <w:t xml:space="preserve"> H</w:t>
      </w:r>
      <w:r w:rsidR="00A47254" w:rsidRPr="009A05F8">
        <w:rPr>
          <w:rFonts w:eastAsiaTheme="majorEastAsia"/>
          <w:b/>
          <w:bCs/>
          <w:vertAlign w:val="subscript"/>
        </w:rPr>
        <w:t>2</w:t>
      </w:r>
      <w:r w:rsidR="00A47254" w:rsidRPr="009A05F8">
        <w:rPr>
          <w:rFonts w:eastAsiaTheme="majorEastAsia"/>
          <w:b/>
          <w:bCs/>
        </w:rPr>
        <w:t>S</w:t>
      </w:r>
      <w:r w:rsidR="00A47254" w:rsidRPr="009A05F8">
        <w:rPr>
          <w:rFonts w:eastAsiaTheme="majorEastAsia"/>
          <w:b/>
        </w:rPr>
        <w:t xml:space="preserve"> </w:t>
      </w:r>
    </w:p>
    <w:p w:rsidR="00EC4A31" w:rsidRDefault="009A05F8" w:rsidP="00EC4A31">
      <w:pPr>
        <w:spacing w:line="360" w:lineRule="auto"/>
        <w:rPr>
          <w:rFonts w:eastAsiaTheme="majorEastAsia"/>
          <w:iCs/>
        </w:rPr>
      </w:pPr>
      <w:r>
        <w:rPr>
          <w:rFonts w:eastAsiaTheme="majorEastAsia"/>
        </w:rPr>
        <w:t>Bezbarvý, j</w:t>
      </w:r>
      <w:r w:rsidR="00A47254" w:rsidRPr="00A47254">
        <w:rPr>
          <w:rFonts w:eastAsiaTheme="majorEastAsia"/>
        </w:rPr>
        <w:t>edovatý</w:t>
      </w:r>
      <w:r>
        <w:rPr>
          <w:rFonts w:eastAsiaTheme="majorEastAsia"/>
        </w:rPr>
        <w:t xml:space="preserve"> a hořlavý plyn.</w:t>
      </w:r>
      <w:r w:rsidR="00A47254" w:rsidRPr="00A47254">
        <w:rPr>
          <w:rFonts w:eastAsiaTheme="majorEastAsia"/>
        </w:rPr>
        <w:t xml:space="preserve"> </w:t>
      </w:r>
      <w:r>
        <w:rPr>
          <w:rFonts w:eastAsiaTheme="majorEastAsia"/>
        </w:rPr>
        <w:t>N</w:t>
      </w:r>
      <w:r w:rsidR="00A47254" w:rsidRPr="00A47254">
        <w:rPr>
          <w:rFonts w:eastAsiaTheme="majorEastAsia"/>
        </w:rPr>
        <w:t xml:space="preserve">epříjemně </w:t>
      </w:r>
      <w:r>
        <w:rPr>
          <w:rFonts w:eastAsiaTheme="majorEastAsia"/>
        </w:rPr>
        <w:t>páchne po zkažených vejcích</w:t>
      </w:r>
      <w:r w:rsidR="00A47254" w:rsidRPr="00A47254">
        <w:rPr>
          <w:rFonts w:eastAsiaTheme="majorEastAsia"/>
        </w:rPr>
        <w:t xml:space="preserve">. </w:t>
      </w:r>
      <w:r w:rsidR="00A47254" w:rsidRPr="009A05F8">
        <w:rPr>
          <w:rFonts w:eastAsiaTheme="majorEastAsia"/>
          <w:iCs/>
        </w:rPr>
        <w:t>J</w:t>
      </w:r>
      <w:r>
        <w:rPr>
          <w:rFonts w:eastAsiaTheme="majorEastAsia"/>
          <w:iCs/>
        </w:rPr>
        <w:t>de o velice nebezpečný jed (0,8</w:t>
      </w:r>
      <w:r w:rsidR="00A47254" w:rsidRPr="009A05F8">
        <w:rPr>
          <w:rFonts w:eastAsiaTheme="majorEastAsia"/>
          <w:iCs/>
        </w:rPr>
        <w:t>–1,2 mg v</w:t>
      </w:r>
      <w:r>
        <w:rPr>
          <w:rFonts w:eastAsiaTheme="majorEastAsia"/>
          <w:iCs/>
        </w:rPr>
        <w:t> </w:t>
      </w:r>
      <w:r w:rsidR="00A47254" w:rsidRPr="009A05F8">
        <w:rPr>
          <w:rFonts w:eastAsiaTheme="majorEastAsia"/>
          <w:iCs/>
        </w:rPr>
        <w:t>1</w:t>
      </w:r>
      <w:r>
        <w:rPr>
          <w:rFonts w:eastAsiaTheme="majorEastAsia"/>
          <w:iCs/>
        </w:rPr>
        <w:t xml:space="preserve"> </w:t>
      </w:r>
      <w:r w:rsidR="00A47254" w:rsidRPr="009A05F8">
        <w:rPr>
          <w:rFonts w:eastAsiaTheme="majorEastAsia"/>
          <w:iCs/>
        </w:rPr>
        <w:t>l</w:t>
      </w:r>
      <w:r>
        <w:rPr>
          <w:rFonts w:eastAsiaTheme="majorEastAsia"/>
          <w:iCs/>
        </w:rPr>
        <w:t>itru</w:t>
      </w:r>
      <w:r w:rsidR="00A47254" w:rsidRPr="009A05F8">
        <w:rPr>
          <w:rFonts w:eastAsiaTheme="majorEastAsia"/>
          <w:iCs/>
        </w:rPr>
        <w:t xml:space="preserve"> vzduchu způsobuje smrt). Do ovzduší se může </w:t>
      </w:r>
      <w:r>
        <w:rPr>
          <w:rFonts w:eastAsiaTheme="majorEastAsia"/>
          <w:iCs/>
        </w:rPr>
        <w:t xml:space="preserve">uvolnit při výrobě koksu, </w:t>
      </w:r>
      <w:r w:rsidR="00A47254" w:rsidRPr="009A05F8">
        <w:rPr>
          <w:rFonts w:eastAsiaTheme="majorEastAsia"/>
          <w:iCs/>
        </w:rPr>
        <w:t>viskózových vláken</w:t>
      </w:r>
      <w:r>
        <w:rPr>
          <w:rFonts w:eastAsiaTheme="majorEastAsia"/>
          <w:iCs/>
        </w:rPr>
        <w:t xml:space="preserve"> a zpracování ropy.</w:t>
      </w:r>
    </w:p>
    <w:p w:rsidR="009A05F8" w:rsidRDefault="009A05F8" w:rsidP="00EC4A31">
      <w:pPr>
        <w:spacing w:after="120" w:line="360" w:lineRule="auto"/>
        <w:rPr>
          <w:rFonts w:eastAsiaTheme="majorEastAsia"/>
          <w:iCs/>
        </w:rPr>
      </w:pPr>
      <w:r>
        <w:rPr>
          <w:rFonts w:eastAsiaTheme="majorEastAsia"/>
          <w:iCs/>
        </w:rPr>
        <w:t>Sirovodík vzniká při rozkladu bílkovin.</w:t>
      </w:r>
    </w:p>
    <w:p w:rsidR="009A05F8" w:rsidRDefault="00A47254" w:rsidP="009A05F8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rFonts w:eastAsiaTheme="majorEastAsia"/>
          <w:b/>
          <w:bCs/>
        </w:rPr>
      </w:pPr>
      <w:r w:rsidRPr="009A05F8">
        <w:rPr>
          <w:rFonts w:eastAsiaTheme="majorEastAsia"/>
          <w:b/>
          <w:bCs/>
        </w:rPr>
        <w:t>Oxid siřičitý (SO</w:t>
      </w:r>
      <w:r w:rsidRPr="009D6C46">
        <w:rPr>
          <w:rFonts w:eastAsiaTheme="majorEastAsia"/>
          <w:b/>
          <w:bCs/>
          <w:vertAlign w:val="subscript"/>
        </w:rPr>
        <w:t>2</w:t>
      </w:r>
      <w:r w:rsidRPr="009A05F8">
        <w:rPr>
          <w:rFonts w:eastAsiaTheme="majorEastAsia"/>
          <w:b/>
          <w:bCs/>
        </w:rPr>
        <w:t xml:space="preserve">) </w:t>
      </w:r>
    </w:p>
    <w:p w:rsidR="009D6C46" w:rsidRDefault="00EC4A31" w:rsidP="009A05F8">
      <w:pPr>
        <w:spacing w:before="120" w:after="120" w:line="360" w:lineRule="auto"/>
        <w:jc w:val="both"/>
        <w:rPr>
          <w:rFonts w:eastAsiaTheme="majorEastAsia"/>
        </w:rPr>
      </w:pPr>
      <w:r>
        <w:rPr>
          <w:rFonts w:eastAsiaTheme="majorEastAsia"/>
        </w:rPr>
        <w:t>Jedovatý bezbarvý</w:t>
      </w:r>
      <w:r w:rsidR="009A05F8">
        <w:rPr>
          <w:rFonts w:eastAsiaTheme="majorEastAsia"/>
        </w:rPr>
        <w:t xml:space="preserve"> štiplavý plyn dráždící dýchací cesty. </w:t>
      </w:r>
    </w:p>
    <w:p w:rsidR="009A05F8" w:rsidRPr="009A05F8" w:rsidRDefault="009A05F8" w:rsidP="009A05F8">
      <w:pPr>
        <w:spacing w:before="120" w:after="120" w:line="360" w:lineRule="auto"/>
        <w:jc w:val="both"/>
        <w:rPr>
          <w:rFonts w:eastAsiaTheme="majorEastAsia"/>
        </w:rPr>
      </w:pPr>
      <w:r>
        <w:rPr>
          <w:rFonts w:eastAsiaTheme="majorEastAsia"/>
        </w:rPr>
        <w:t>Vzniká spalováním síry</w:t>
      </w:r>
      <w:r w:rsidR="009D6C46">
        <w:rPr>
          <w:rFonts w:eastAsiaTheme="majorEastAsia"/>
        </w:rPr>
        <w:t>:</w:t>
      </w:r>
      <w:r w:rsidR="009D6C46">
        <w:rPr>
          <w:rFonts w:eastAsiaTheme="majorEastAsia"/>
        </w:rPr>
        <w:tab/>
        <w:t xml:space="preserve"> </w:t>
      </w:r>
      <w:proofErr w:type="gramStart"/>
      <w:r>
        <w:rPr>
          <w:rFonts w:eastAsiaTheme="majorEastAsia"/>
        </w:rPr>
        <w:t>S  +  O</w:t>
      </w:r>
      <w:r w:rsidRPr="00073214">
        <w:rPr>
          <w:rFonts w:eastAsiaTheme="majorEastAsia"/>
          <w:vertAlign w:val="subscript"/>
        </w:rPr>
        <w:t>2</w:t>
      </w:r>
      <w:proofErr w:type="gramEnd"/>
      <w:r>
        <w:rPr>
          <w:rFonts w:eastAsiaTheme="majorEastAsia"/>
        </w:rPr>
        <w:t xml:space="preserve">  </w:t>
      </w:r>
      <w:r>
        <w:rPr>
          <w:rFonts w:eastAsiaTheme="majorEastAsia"/>
        </w:rPr>
        <w:sym w:font="Symbol" w:char="F0AE"/>
      </w:r>
      <w:r w:rsidR="00EC4A31">
        <w:rPr>
          <w:rFonts w:eastAsiaTheme="majorEastAsia"/>
        </w:rPr>
        <w:t xml:space="preserve"> </w:t>
      </w:r>
      <w:r>
        <w:rPr>
          <w:rFonts w:eastAsiaTheme="majorEastAsia"/>
        </w:rPr>
        <w:t xml:space="preserve"> SO</w:t>
      </w:r>
      <w:r w:rsidR="009D6C46" w:rsidRPr="009D6C46">
        <w:rPr>
          <w:rFonts w:eastAsiaTheme="majorEastAsia"/>
          <w:vertAlign w:val="subscript"/>
        </w:rPr>
        <w:t>2</w:t>
      </w:r>
    </w:p>
    <w:p w:rsidR="009D6C46" w:rsidRDefault="009A05F8" w:rsidP="00A47254">
      <w:pPr>
        <w:spacing w:before="120" w:after="120" w:line="360" w:lineRule="auto"/>
        <w:jc w:val="both"/>
        <w:rPr>
          <w:rFonts w:eastAsiaTheme="majorEastAsia"/>
        </w:rPr>
      </w:pPr>
      <w:r>
        <w:rPr>
          <w:rFonts w:eastAsiaTheme="majorEastAsia"/>
        </w:rPr>
        <w:t xml:space="preserve">Protože je síra obsažena </w:t>
      </w:r>
      <w:r w:rsidR="009D6C46">
        <w:rPr>
          <w:rFonts w:eastAsiaTheme="majorEastAsia"/>
        </w:rPr>
        <w:t>ve fosilních palivech (ropa, uhlí, zemní plyn), dochází při jejich spalování k produkci SO</w:t>
      </w:r>
      <w:r w:rsidR="009D6C46" w:rsidRPr="009D6C46">
        <w:rPr>
          <w:rFonts w:eastAsiaTheme="majorEastAsia"/>
          <w:vertAlign w:val="subscript"/>
        </w:rPr>
        <w:t>2</w:t>
      </w:r>
      <w:r w:rsidR="009D6C46">
        <w:rPr>
          <w:rFonts w:eastAsiaTheme="majorEastAsia"/>
        </w:rPr>
        <w:t xml:space="preserve"> a jeho oxidací k tvorbě SO</w:t>
      </w:r>
      <w:r w:rsidR="009D6C46" w:rsidRPr="009D6C46">
        <w:rPr>
          <w:rFonts w:eastAsiaTheme="majorEastAsia"/>
          <w:vertAlign w:val="subscript"/>
        </w:rPr>
        <w:t>3</w:t>
      </w:r>
      <w:r w:rsidR="009D6C46">
        <w:rPr>
          <w:rFonts w:eastAsiaTheme="majorEastAsia"/>
        </w:rPr>
        <w:t>. Tyto oxidy reaguj</w:t>
      </w:r>
      <w:r w:rsidR="00EC4A31">
        <w:rPr>
          <w:rFonts w:eastAsiaTheme="majorEastAsia"/>
        </w:rPr>
        <w:t>í</w:t>
      </w:r>
      <w:r w:rsidR="00A47254" w:rsidRPr="009A05F8">
        <w:rPr>
          <w:rFonts w:eastAsiaTheme="majorEastAsia"/>
        </w:rPr>
        <w:t xml:space="preserve"> s vodní parou obsaženou ve vzduchu za tvorby kyseliny siřičité a sírové</w:t>
      </w:r>
      <w:r w:rsidR="009D6C46">
        <w:rPr>
          <w:rFonts w:eastAsiaTheme="majorEastAsia"/>
        </w:rPr>
        <w:t>. Ty dopadají na zem v podobě</w:t>
      </w:r>
      <w:r w:rsidR="00A47254" w:rsidRPr="009A05F8">
        <w:rPr>
          <w:rFonts w:eastAsiaTheme="majorEastAsia"/>
        </w:rPr>
        <w:t xml:space="preserve"> kyselých dešťů. Po vsáknutí do půdy mění její pH na kyselejší, což negativně ovlivňuje růst řady rostlin. </w:t>
      </w:r>
      <w:r w:rsidR="009D6C46">
        <w:rPr>
          <w:rFonts w:eastAsiaTheme="majorEastAsia"/>
        </w:rPr>
        <w:t>D</w:t>
      </w:r>
      <w:r w:rsidR="009D6C46" w:rsidRPr="009D6C46">
        <w:rPr>
          <w:rFonts w:eastAsiaTheme="majorEastAsia"/>
        </w:rPr>
        <w:t xml:space="preserve">ochází k vymírání vodních a půdních organizmů, snižuje se úrodnost půdy. </w:t>
      </w:r>
      <w:r w:rsidR="009D6C46">
        <w:rPr>
          <w:rFonts w:eastAsiaTheme="majorEastAsia"/>
        </w:rPr>
        <w:t xml:space="preserve"> </w:t>
      </w:r>
      <w:r w:rsidR="009D6C46" w:rsidRPr="009D6C46">
        <w:rPr>
          <w:rFonts w:eastAsiaTheme="majorEastAsia"/>
        </w:rPr>
        <w:t>Dochází k vymývání živin z listů (hynou hl. jehličnaté stromy), vymývání vápníku z půdy, dochází k rozkladu stavebních materiálů, korozi kovů, vyluhování toxických kovů z půdy do vody</w:t>
      </w:r>
      <w:r w:rsidR="00073214">
        <w:rPr>
          <w:rFonts w:eastAsiaTheme="majorEastAsia"/>
        </w:rPr>
        <w:t xml:space="preserve"> a jejich začlenění do potravního řetězce</w:t>
      </w:r>
      <w:r w:rsidR="009D6C46" w:rsidRPr="009D6C46">
        <w:rPr>
          <w:rFonts w:eastAsiaTheme="majorEastAsia"/>
        </w:rPr>
        <w:t>.</w:t>
      </w:r>
    </w:p>
    <w:p w:rsidR="002E22DE" w:rsidRDefault="002E22DE" w:rsidP="002E22DE">
      <w:pPr>
        <w:spacing w:before="120" w:after="120" w:line="360" w:lineRule="auto"/>
        <w:jc w:val="both"/>
        <w:rPr>
          <w:rStyle w:val="st"/>
          <w:rFonts w:eastAsiaTheme="majorEastAsia"/>
        </w:rPr>
      </w:pPr>
      <w:r>
        <w:rPr>
          <w:rStyle w:val="st"/>
          <w:rFonts w:eastAsiaTheme="majorEastAsia"/>
        </w:rPr>
        <w:t>Oxid siřičitý se užívá k síření sklepů a sudů</w:t>
      </w:r>
      <w:r w:rsidRPr="00390FD0">
        <w:rPr>
          <w:rStyle w:val="st"/>
          <w:rFonts w:eastAsiaTheme="majorEastAsia"/>
        </w:rPr>
        <w:t xml:space="preserve"> pro uchovávání vína či piva </w:t>
      </w:r>
      <w:r>
        <w:rPr>
          <w:rStyle w:val="st"/>
          <w:rFonts w:eastAsiaTheme="majorEastAsia"/>
        </w:rPr>
        <w:t xml:space="preserve">a </w:t>
      </w:r>
      <w:r w:rsidRPr="00390FD0">
        <w:rPr>
          <w:rStyle w:val="st"/>
          <w:rFonts w:eastAsiaTheme="majorEastAsia"/>
        </w:rPr>
        <w:t>efektivně brání množení nežádoucích plísní a mikroorganizmů.</w:t>
      </w:r>
      <w:r>
        <w:rPr>
          <w:rStyle w:val="st"/>
          <w:rFonts w:eastAsiaTheme="majorEastAsia"/>
        </w:rPr>
        <w:t xml:space="preserve"> Jeho další použití je v potravinářském průmyslu, kde s</w:t>
      </w:r>
      <w:r w:rsidR="00073214">
        <w:rPr>
          <w:rStyle w:val="st"/>
          <w:rFonts w:eastAsiaTheme="majorEastAsia"/>
        </w:rPr>
        <w:t>louží ke</w:t>
      </w:r>
      <w:r>
        <w:rPr>
          <w:rStyle w:val="st"/>
          <w:rFonts w:eastAsiaTheme="majorEastAsia"/>
        </w:rPr>
        <w:t xml:space="preserve"> konzervování ovoce, zeleniny, masa aj.</w:t>
      </w:r>
    </w:p>
    <w:p w:rsidR="009D6C46" w:rsidRPr="009D6C46" w:rsidRDefault="00A47254" w:rsidP="009D6C46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rFonts w:eastAsiaTheme="majorEastAsia"/>
          <w:b/>
          <w:bCs/>
        </w:rPr>
      </w:pPr>
      <w:r w:rsidRPr="009D6C46">
        <w:rPr>
          <w:rFonts w:eastAsiaTheme="majorEastAsia"/>
          <w:b/>
          <w:bCs/>
        </w:rPr>
        <w:t>Kyselina sírová (H</w:t>
      </w:r>
      <w:r w:rsidRPr="009D6C46">
        <w:rPr>
          <w:rFonts w:eastAsiaTheme="majorEastAsia"/>
          <w:b/>
          <w:bCs/>
          <w:vertAlign w:val="subscript"/>
        </w:rPr>
        <w:t>2</w:t>
      </w:r>
      <w:r w:rsidRPr="009D6C46">
        <w:rPr>
          <w:rFonts w:eastAsiaTheme="majorEastAsia"/>
          <w:b/>
          <w:bCs/>
        </w:rPr>
        <w:t>SO</w:t>
      </w:r>
      <w:r w:rsidRPr="009D6C46">
        <w:rPr>
          <w:rFonts w:eastAsiaTheme="majorEastAsia"/>
          <w:b/>
          <w:bCs/>
          <w:vertAlign w:val="subscript"/>
        </w:rPr>
        <w:t>4</w:t>
      </w:r>
      <w:r w:rsidRPr="009D6C46">
        <w:rPr>
          <w:rFonts w:eastAsiaTheme="majorEastAsia"/>
          <w:b/>
          <w:bCs/>
        </w:rPr>
        <w:t>)</w:t>
      </w:r>
    </w:p>
    <w:p w:rsidR="002E22DE" w:rsidRPr="00CA3484" w:rsidRDefault="00073214" w:rsidP="00A47254">
      <w:pPr>
        <w:spacing w:before="120" w:after="120" w:line="360" w:lineRule="auto"/>
        <w:jc w:val="both"/>
        <w:rPr>
          <w:rFonts w:eastAsiaTheme="majorEastAsia"/>
        </w:rPr>
      </w:pPr>
      <w:r>
        <w:rPr>
          <w:rFonts w:eastAsiaTheme="majorEastAsia"/>
          <w:bCs/>
        </w:rPr>
        <w:t>S</w:t>
      </w:r>
      <w:r w:rsidR="009D6C46" w:rsidRPr="009D6C46">
        <w:rPr>
          <w:rFonts w:eastAsiaTheme="majorEastAsia"/>
          <w:bCs/>
        </w:rPr>
        <w:t>ilná dvojsytná kyselina</w:t>
      </w:r>
      <w:r w:rsidR="009D6C46" w:rsidRPr="00597675">
        <w:rPr>
          <w:rFonts w:eastAsiaTheme="majorEastAsia"/>
          <w:bCs/>
        </w:rPr>
        <w:t xml:space="preserve">. </w:t>
      </w:r>
      <w:r>
        <w:rPr>
          <w:rFonts w:eastAsiaTheme="majorEastAsia"/>
          <w:bCs/>
        </w:rPr>
        <w:t>Je to olejovitá</w:t>
      </w:r>
      <w:r w:rsidR="00597675" w:rsidRPr="00597675">
        <w:rPr>
          <w:rFonts w:eastAsiaTheme="majorEastAsia"/>
          <w:bCs/>
        </w:rPr>
        <w:t xml:space="preserve"> kapalina. </w:t>
      </w:r>
      <w:r w:rsidR="009D6C46">
        <w:rPr>
          <w:rFonts w:eastAsiaTheme="majorEastAsia"/>
        </w:rPr>
        <w:t>S</w:t>
      </w:r>
      <w:r w:rsidR="00A47254" w:rsidRPr="00A47254">
        <w:rPr>
          <w:rFonts w:eastAsiaTheme="majorEastAsia"/>
        </w:rPr>
        <w:t>lučuje s v</w:t>
      </w:r>
      <w:r w:rsidR="00EC4A31">
        <w:rPr>
          <w:rFonts w:eastAsiaTheme="majorEastAsia"/>
        </w:rPr>
        <w:t> </w:t>
      </w:r>
      <w:r w:rsidR="00A47254" w:rsidRPr="00A47254">
        <w:rPr>
          <w:rFonts w:eastAsiaTheme="majorEastAsia"/>
        </w:rPr>
        <w:t xml:space="preserve">jakémkoli poměru s vodou. 98,3% vodný roztok považujeme </w:t>
      </w:r>
      <w:r w:rsidR="002E22DE">
        <w:rPr>
          <w:rFonts w:eastAsiaTheme="majorEastAsia"/>
        </w:rPr>
        <w:t>za</w:t>
      </w:r>
      <w:r w:rsidR="00A47254" w:rsidRPr="00A47254">
        <w:rPr>
          <w:rFonts w:eastAsiaTheme="majorEastAsia"/>
        </w:rPr>
        <w:t xml:space="preserve"> koncentrovanou kyselinu. </w:t>
      </w:r>
      <w:r w:rsidR="00597675">
        <w:rPr>
          <w:rFonts w:eastAsiaTheme="majorEastAsia"/>
        </w:rPr>
        <w:t>Má silné oxidační a</w:t>
      </w:r>
      <w:r>
        <w:rPr>
          <w:rFonts w:eastAsiaTheme="majorEastAsia"/>
        </w:rPr>
        <w:t> </w:t>
      </w:r>
      <w:r w:rsidR="00597675">
        <w:rPr>
          <w:rFonts w:eastAsiaTheme="majorEastAsia"/>
        </w:rPr>
        <w:t xml:space="preserve">dehydratační účinky. </w:t>
      </w:r>
      <w:r w:rsidR="00CA3484">
        <w:rPr>
          <w:rFonts w:eastAsiaTheme="majorEastAsia"/>
        </w:rPr>
        <w:t>Vytváří dva druhy solí – sírany SO</w:t>
      </w:r>
      <w:r w:rsidR="00CA3484" w:rsidRPr="00CA3484">
        <w:rPr>
          <w:rFonts w:eastAsiaTheme="majorEastAsia"/>
          <w:vertAlign w:val="subscript"/>
        </w:rPr>
        <w:t>4</w:t>
      </w:r>
      <w:r w:rsidR="00CA3484" w:rsidRPr="00CA3484">
        <w:rPr>
          <w:rFonts w:eastAsiaTheme="majorEastAsia"/>
          <w:vertAlign w:val="superscript"/>
        </w:rPr>
        <w:t>2-</w:t>
      </w:r>
      <w:r w:rsidR="00CA3484">
        <w:rPr>
          <w:rFonts w:eastAsiaTheme="majorEastAsia"/>
        </w:rPr>
        <w:t xml:space="preserve"> a hydrogensírany HSO</w:t>
      </w:r>
      <w:r w:rsidR="00CA3484" w:rsidRPr="00CA3484">
        <w:rPr>
          <w:rFonts w:eastAsiaTheme="majorEastAsia"/>
          <w:vertAlign w:val="subscript"/>
        </w:rPr>
        <w:t>4</w:t>
      </w:r>
      <w:r w:rsidR="00CA3484" w:rsidRPr="00CA3484">
        <w:rPr>
          <w:rFonts w:eastAsiaTheme="majorEastAsia"/>
          <w:vertAlign w:val="superscript"/>
        </w:rPr>
        <w:t>-</w:t>
      </w:r>
      <w:r w:rsidR="00CA3484">
        <w:rPr>
          <w:rFonts w:eastAsiaTheme="majorEastAsia"/>
        </w:rPr>
        <w:t>.</w:t>
      </w:r>
    </w:p>
    <w:p w:rsidR="00A47254" w:rsidRPr="002E22DE" w:rsidRDefault="00A47254" w:rsidP="00A47254">
      <w:pPr>
        <w:spacing w:before="120" w:after="120" w:line="360" w:lineRule="auto"/>
        <w:jc w:val="both"/>
        <w:rPr>
          <w:rFonts w:eastAsiaTheme="majorEastAsia"/>
        </w:rPr>
      </w:pPr>
      <w:r w:rsidRPr="00597675">
        <w:rPr>
          <w:rFonts w:eastAsiaTheme="majorEastAsia"/>
        </w:rPr>
        <w:t>Používá</w:t>
      </w:r>
      <w:r w:rsidR="00E213BB" w:rsidRPr="00E213BB">
        <w:rPr>
          <w:rFonts w:eastAsiaTheme="majorEastAsia"/>
        </w:rPr>
        <w:t xml:space="preserve"> </w:t>
      </w:r>
      <w:r w:rsidRPr="00A47254">
        <w:rPr>
          <w:rFonts w:eastAsiaTheme="majorEastAsia"/>
        </w:rPr>
        <w:t>se k výrobě chemiká</w:t>
      </w:r>
      <w:r w:rsidR="00597675">
        <w:rPr>
          <w:rFonts w:eastAsiaTheme="majorEastAsia"/>
        </w:rPr>
        <w:t xml:space="preserve">lií, barviv, výbušnin, </w:t>
      </w:r>
      <w:r w:rsidR="002E22DE">
        <w:t>hnojiv</w:t>
      </w:r>
      <w:r w:rsidR="005B6BDD">
        <w:t xml:space="preserve">, plastů, léčiv, </w:t>
      </w:r>
      <w:r w:rsidR="00597675">
        <w:t>jako elektrolyt (32% vodný roztok) v olověných akumulátorech. Používá se k pasivaci železa</w:t>
      </w:r>
      <w:r w:rsidR="002E22DE">
        <w:t>, kdy se povrch kovu pokryje vrstvičkou oxidu, která ho chrání před dalším kontaktem s kyselinou a</w:t>
      </w:r>
      <w:r w:rsidR="00073214">
        <w:t> </w:t>
      </w:r>
      <w:r w:rsidR="002E22DE">
        <w:t>zvyšuje jeho odolnost před korozí a agresivními chemickými látkami.</w:t>
      </w:r>
    </w:p>
    <w:p w:rsidR="00E213BB" w:rsidRDefault="00E213BB" w:rsidP="00390FD0">
      <w:pPr>
        <w:spacing w:before="120" w:after="120" w:line="360" w:lineRule="auto"/>
        <w:jc w:val="both"/>
        <w:rPr>
          <w:rStyle w:val="st"/>
          <w:rFonts w:eastAsiaTheme="majorEastAsia"/>
        </w:rPr>
        <w:sectPr w:rsidR="00E213BB" w:rsidSect="00AD035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47254" w:rsidRPr="00FD5F88" w:rsidRDefault="005B6BDD" w:rsidP="00FD5F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D5F88">
        <w:rPr>
          <w:b/>
        </w:rPr>
        <w:lastRenderedPageBreak/>
        <w:t>Cvičení:</w:t>
      </w:r>
    </w:p>
    <w:p w:rsidR="005B6BDD" w:rsidRPr="00FD5F88" w:rsidRDefault="005B6BDD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 w:rsidRPr="00FD5F88">
        <w:t>Kde se v přírodě nachází volná síra?</w:t>
      </w:r>
    </w:p>
    <w:p w:rsidR="005B6BDD" w:rsidRPr="00FD5F88" w:rsidRDefault="00FD5F88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 w:rsidRPr="00FD5F88">
        <w:t>Proč včelaři zapalují v úlech síru</w:t>
      </w:r>
      <w:r w:rsidR="005B6BDD" w:rsidRPr="00FD5F88">
        <w:t>?</w:t>
      </w:r>
    </w:p>
    <w:p w:rsidR="005B6BDD" w:rsidRPr="00FD5F88" w:rsidRDefault="00CA3484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 w:rsidRPr="00FD5F88">
        <w:t>Napište rovnici přípravy H</w:t>
      </w:r>
      <w:r w:rsidRPr="00FD5F88">
        <w:rPr>
          <w:vertAlign w:val="subscript"/>
        </w:rPr>
        <w:t>2</w:t>
      </w:r>
      <w:r w:rsidR="00811934">
        <w:t>S reakcí sulfidu železnatého s</w:t>
      </w:r>
      <w:r w:rsidRPr="00FD5F88">
        <w:t xml:space="preserve"> kyselin</w:t>
      </w:r>
      <w:r w:rsidR="00811934">
        <w:t>ou</w:t>
      </w:r>
      <w:r w:rsidRPr="00FD5F88">
        <w:t xml:space="preserve"> </w:t>
      </w:r>
      <w:r w:rsidR="00811934">
        <w:t>chlorovodíkovou</w:t>
      </w:r>
      <w:r w:rsidRPr="00FD5F88">
        <w:t>.</w:t>
      </w:r>
    </w:p>
    <w:p w:rsidR="005B6BDD" w:rsidRPr="00FD5F88" w:rsidRDefault="00CA3484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 w:rsidRPr="00FD5F88">
        <w:t>Zapište reakci přípravy sulfidu sodného přímým slučováním.</w:t>
      </w:r>
    </w:p>
    <w:p w:rsidR="00CA3484" w:rsidRPr="00FD5F88" w:rsidRDefault="00CA3484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 w:rsidRPr="00FD5F88">
        <w:t xml:space="preserve">Doplňte vzorce a chemické názvy k těmto minerálům: pyrit, galenit, sfalerit, rumělka, baryt, sádrovec, </w:t>
      </w:r>
      <w:proofErr w:type="spellStart"/>
      <w:r w:rsidRPr="00FD5F88">
        <w:t>chalkantit</w:t>
      </w:r>
      <w:proofErr w:type="spellEnd"/>
      <w:r w:rsidRPr="00FD5F88">
        <w:t xml:space="preserve"> (skalice modrá), melanterit (skalice zelená)</w:t>
      </w:r>
      <w:r w:rsidR="00FD5F88">
        <w:t>.</w:t>
      </w:r>
    </w:p>
    <w:p w:rsidR="00EA29BF" w:rsidRPr="00FD5F88" w:rsidRDefault="00EA29BF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 w:rsidRPr="00FD5F88">
        <w:t>Napište vzorce slouč</w:t>
      </w:r>
      <w:r w:rsidR="00FD5F88">
        <w:t xml:space="preserve">enin: </w:t>
      </w:r>
      <w:proofErr w:type="spellStart"/>
      <w:r w:rsidR="00FD5F88">
        <w:t>sulfan</w:t>
      </w:r>
      <w:proofErr w:type="spellEnd"/>
      <w:r w:rsidR="00FD5F88">
        <w:t xml:space="preserve">, sulfid stříbrný, </w:t>
      </w:r>
      <w:r w:rsidRPr="00FD5F88">
        <w:t>hydrogensíran sodný, síra</w:t>
      </w:r>
      <w:r w:rsidR="00FD5F88">
        <w:t>n hlinitý, siřičitan draselný, hydrogensíran amonný.</w:t>
      </w:r>
    </w:p>
    <w:p w:rsidR="00EA29BF" w:rsidRPr="00FD5F88" w:rsidRDefault="00EA29BF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 w:rsidRPr="00FD5F88">
        <w:t>Pojmenujte sloučeniny: CS</w:t>
      </w:r>
      <w:r w:rsidRPr="00FD5F88">
        <w:rPr>
          <w:vertAlign w:val="subscript"/>
        </w:rPr>
        <w:t>2</w:t>
      </w:r>
      <w:r w:rsidRPr="00FD5F88">
        <w:t>, Fe</w:t>
      </w:r>
      <w:r w:rsidRPr="00FD5F88">
        <w:rPr>
          <w:vertAlign w:val="subscript"/>
        </w:rPr>
        <w:t>2</w:t>
      </w:r>
      <w:r w:rsidRPr="00FD5F88">
        <w:t>S</w:t>
      </w:r>
      <w:r w:rsidRPr="00FD5F88">
        <w:rPr>
          <w:vertAlign w:val="subscript"/>
        </w:rPr>
        <w:t>3</w:t>
      </w:r>
      <w:r w:rsidRPr="00FD5F88">
        <w:t>, K</w:t>
      </w:r>
      <w:r w:rsidRPr="00FD5F88">
        <w:rPr>
          <w:vertAlign w:val="subscript"/>
        </w:rPr>
        <w:t>2</w:t>
      </w:r>
      <w:r w:rsidRPr="00FD5F88">
        <w:t>SO</w:t>
      </w:r>
      <w:r w:rsidRPr="00FD5F88">
        <w:rPr>
          <w:vertAlign w:val="subscript"/>
        </w:rPr>
        <w:t>4</w:t>
      </w:r>
      <w:r w:rsidRPr="00FD5F88">
        <w:t>, MgSO</w:t>
      </w:r>
      <w:r w:rsidRPr="00FD5F88">
        <w:rPr>
          <w:vertAlign w:val="subscript"/>
        </w:rPr>
        <w:t>4</w:t>
      </w:r>
      <w:r w:rsidRPr="00FD5F88">
        <w:t>, (NH</w:t>
      </w:r>
      <w:r w:rsidRPr="00FD5F88">
        <w:rPr>
          <w:vertAlign w:val="subscript"/>
        </w:rPr>
        <w:t>4</w:t>
      </w:r>
      <w:r w:rsidRPr="00FD5F88">
        <w:t>)</w:t>
      </w:r>
      <w:r w:rsidRPr="00FD5F88">
        <w:rPr>
          <w:vertAlign w:val="subscript"/>
        </w:rPr>
        <w:t>2</w:t>
      </w:r>
      <w:r w:rsidRPr="00FD5F88">
        <w:t>SO</w:t>
      </w:r>
      <w:r w:rsidRPr="00FD5F88">
        <w:rPr>
          <w:vertAlign w:val="subscript"/>
        </w:rPr>
        <w:t>4</w:t>
      </w:r>
      <w:r w:rsidRPr="00FD5F88">
        <w:t>, NH</w:t>
      </w:r>
      <w:r w:rsidRPr="00FD5F88">
        <w:rPr>
          <w:vertAlign w:val="subscript"/>
        </w:rPr>
        <w:t>4</w:t>
      </w:r>
      <w:r w:rsidRPr="00FD5F88">
        <w:t>HSO</w:t>
      </w:r>
      <w:r w:rsidRPr="00FD5F88">
        <w:rPr>
          <w:vertAlign w:val="subscript"/>
        </w:rPr>
        <w:t>3</w:t>
      </w:r>
      <w:r w:rsidR="00FD5F88">
        <w:t>.</w:t>
      </w:r>
    </w:p>
    <w:p w:rsidR="00EA29BF" w:rsidRDefault="00FD5F88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>
        <w:t>Sirné lázně v</w:t>
      </w:r>
      <w:r w:rsidR="00BA23E4" w:rsidRPr="00FD5F88">
        <w:t xml:space="preserve"> Ostrožné </w:t>
      </w:r>
      <w:r w:rsidR="00B94B78" w:rsidRPr="00FD5F88">
        <w:t>N</w:t>
      </w:r>
      <w:r w:rsidR="00BA23E4" w:rsidRPr="00FD5F88">
        <w:t>ové Vsi</w:t>
      </w:r>
      <w:r w:rsidR="00B94B78" w:rsidRPr="00FD5F88">
        <w:t xml:space="preserve"> používají k léčbě sirné prameny s největším obsahem síry v naší republice. Zjistěte, které chorob</w:t>
      </w:r>
      <w:r>
        <w:t>y jsou v těchto lázních léčeny.</w:t>
      </w:r>
    </w:p>
    <w:p w:rsidR="00530754" w:rsidRDefault="00530754" w:rsidP="00530754">
      <w:pPr>
        <w:spacing w:before="120" w:after="120" w:line="360" w:lineRule="auto"/>
        <w:jc w:val="both"/>
      </w:pPr>
    </w:p>
    <w:p w:rsidR="00530754" w:rsidRDefault="00530754" w:rsidP="00530754">
      <w:pPr>
        <w:autoSpaceDE w:val="0"/>
        <w:autoSpaceDN w:val="0"/>
        <w:adjustRightInd w:val="0"/>
        <w:spacing w:after="200"/>
        <w:jc w:val="both"/>
      </w:pPr>
      <w:r>
        <w:t>Zdroje:</w:t>
      </w:r>
    </w:p>
    <w:p w:rsidR="00530754" w:rsidRPr="00F16939" w:rsidRDefault="00530754" w:rsidP="00530754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530754" w:rsidRPr="00530754" w:rsidRDefault="00530754" w:rsidP="00530754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BANÝR, J. </w:t>
      </w:r>
      <w:proofErr w:type="spellStart"/>
      <w:r w:rsidRPr="00530754">
        <w:rPr>
          <w:rFonts w:ascii="Arial" w:hAnsi="Arial" w:cs="Arial"/>
          <w:sz w:val="20"/>
          <w:szCs w:val="20"/>
        </w:rPr>
        <w:t>et</w:t>
      </w:r>
      <w:proofErr w:type="spellEnd"/>
      <w:r w:rsidRPr="0053075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754">
        <w:rPr>
          <w:rFonts w:ascii="Arial" w:hAnsi="Arial" w:cs="Arial"/>
          <w:sz w:val="20"/>
          <w:szCs w:val="20"/>
        </w:rPr>
        <w:t>al</w:t>
      </w:r>
      <w:proofErr w:type="spellEnd"/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sz w:val="20"/>
          <w:szCs w:val="20"/>
        </w:rPr>
        <w:t>Chemie pro střední školy.</w:t>
      </w:r>
      <w:r w:rsidRPr="0053075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30754">
        <w:rPr>
          <w:rFonts w:ascii="Arial" w:hAnsi="Arial" w:cs="Arial"/>
          <w:sz w:val="20"/>
          <w:szCs w:val="20"/>
        </w:rPr>
        <w:t>SNP –pedagogické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nakladatelství, 2001. ISBN 80</w:t>
      </w:r>
      <w:r w:rsidRPr="00530754">
        <w:rPr>
          <w:rFonts w:ascii="Arial" w:hAnsi="Arial" w:cs="Arial"/>
          <w:sz w:val="20"/>
          <w:szCs w:val="20"/>
        </w:rPr>
        <w:noBreakHyphen/>
        <w:t>85937</w:t>
      </w:r>
      <w:r w:rsidRPr="00530754">
        <w:rPr>
          <w:rFonts w:ascii="Arial" w:hAnsi="Arial" w:cs="Arial"/>
          <w:sz w:val="20"/>
          <w:szCs w:val="20"/>
        </w:rPr>
        <w:noBreakHyphen/>
        <w:t>46-8</w:t>
      </w:r>
    </w:p>
    <w:p w:rsidR="00530754" w:rsidRPr="00530754" w:rsidRDefault="00530754" w:rsidP="00530754">
      <w:pPr>
        <w:jc w:val="both"/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VACÍK, J. </w:t>
      </w:r>
      <w:proofErr w:type="spellStart"/>
      <w:r w:rsidRPr="00530754">
        <w:rPr>
          <w:rFonts w:ascii="Arial" w:hAnsi="Arial" w:cs="Arial"/>
          <w:sz w:val="20"/>
          <w:szCs w:val="20"/>
        </w:rPr>
        <w:t>et</w:t>
      </w:r>
      <w:proofErr w:type="spellEnd"/>
      <w:r w:rsidRPr="0053075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754">
        <w:rPr>
          <w:rFonts w:ascii="Arial" w:hAnsi="Arial" w:cs="Arial"/>
          <w:sz w:val="20"/>
          <w:szCs w:val="20"/>
        </w:rPr>
        <w:t>al</w:t>
      </w:r>
      <w:proofErr w:type="spellEnd"/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530754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530754" w:rsidRPr="00530754" w:rsidRDefault="00530754" w:rsidP="00530754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ŠRÁMEK, V. </w:t>
      </w:r>
      <w:r w:rsidRPr="0053075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530754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530754">
        <w:rPr>
          <w:rFonts w:ascii="Arial" w:hAnsi="Arial" w:cs="Arial"/>
          <w:sz w:val="20"/>
          <w:szCs w:val="20"/>
        </w:rPr>
        <w:t>vyd</w:t>
      </w:r>
      <w:proofErr w:type="spellEnd"/>
      <w:r w:rsidRPr="00530754">
        <w:rPr>
          <w:rFonts w:ascii="Arial" w:hAnsi="Arial" w:cs="Arial"/>
          <w:sz w:val="20"/>
          <w:szCs w:val="20"/>
        </w:rPr>
        <w:t>. Olomouc: Olomouc s.r.o., 2005. ISBN 80–7182–099–7.</w:t>
      </w:r>
    </w:p>
    <w:p w:rsidR="00530754" w:rsidRPr="00530754" w:rsidRDefault="00530754" w:rsidP="00530754">
      <w:pPr>
        <w:rPr>
          <w:rFonts w:ascii="Arial" w:hAnsi="Arial" w:cs="Arial"/>
          <w:sz w:val="20"/>
          <w:szCs w:val="20"/>
        </w:rPr>
      </w:pPr>
      <w:proofErr w:type="gramStart"/>
      <w:r w:rsidRPr="00530754">
        <w:rPr>
          <w:rFonts w:ascii="Arial" w:hAnsi="Arial" w:cs="Arial"/>
          <w:sz w:val="20"/>
          <w:szCs w:val="20"/>
        </w:rPr>
        <w:t>BENEŠOVÁ,M.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SATRAPOVÁ, H. </w:t>
      </w:r>
      <w:r w:rsidRPr="00530754">
        <w:rPr>
          <w:rFonts w:ascii="Arial" w:hAnsi="Arial" w:cs="Arial"/>
          <w:i/>
          <w:sz w:val="20"/>
          <w:szCs w:val="20"/>
        </w:rPr>
        <w:t xml:space="preserve">Odmaturuj z chemie. </w:t>
      </w:r>
      <w:r w:rsidRPr="00530754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530754">
          <w:rPr>
            <w:rFonts w:ascii="Arial" w:hAnsi="Arial" w:cs="Arial"/>
            <w:sz w:val="20"/>
            <w:szCs w:val="20"/>
          </w:rPr>
          <w:t>80-86285-56-1</w:t>
        </w:r>
      </w:smartTag>
    </w:p>
    <w:p w:rsidR="00530754" w:rsidRPr="008A152A" w:rsidRDefault="00530754" w:rsidP="00530754"/>
    <w:p w:rsidR="00530754" w:rsidRPr="00530754" w:rsidRDefault="00530754" w:rsidP="00530754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Obrázky:</w:t>
      </w:r>
    </w:p>
    <w:p w:rsidR="00530754" w:rsidRPr="00530754" w:rsidRDefault="00530754" w:rsidP="00530754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p w:rsidR="00A47254" w:rsidRDefault="00A47254" w:rsidP="00530754">
      <w:pPr>
        <w:spacing w:before="120" w:after="120" w:line="360" w:lineRule="auto"/>
        <w:jc w:val="both"/>
        <w:rPr>
          <w:rStyle w:val="st"/>
          <w:rFonts w:eastAsiaTheme="majorEastAsia"/>
        </w:rPr>
      </w:pPr>
    </w:p>
    <w:p w:rsidR="00D26302" w:rsidRPr="00EA384A" w:rsidRDefault="00D26302" w:rsidP="00EA384A">
      <w:pPr>
        <w:spacing w:before="120" w:after="120" w:line="360" w:lineRule="auto"/>
        <w:jc w:val="both"/>
      </w:pPr>
    </w:p>
    <w:sectPr w:rsidR="00D26302" w:rsidRPr="00EA384A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84A" w:rsidRDefault="00E6784A" w:rsidP="00AD6A87">
      <w:r>
        <w:separator/>
      </w:r>
    </w:p>
  </w:endnote>
  <w:endnote w:type="continuationSeparator" w:id="0">
    <w:p w:rsidR="00E6784A" w:rsidRDefault="00E6784A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6380"/>
      <w:docPartObj>
        <w:docPartGallery w:val="Page Numbers (Bottom of Page)"/>
        <w:docPartUnique/>
      </w:docPartObj>
    </w:sdtPr>
    <w:sdtContent>
      <w:p w:rsidR="002E22DE" w:rsidRDefault="008A5B43">
        <w:pPr>
          <w:pStyle w:val="Zpat"/>
          <w:jc w:val="right"/>
        </w:pPr>
        <w:fldSimple w:instr=" PAGE   \* MERGEFORMAT ">
          <w:r w:rsidR="00E343CF">
            <w:rPr>
              <w:noProof/>
            </w:rPr>
            <w:t>3</w:t>
          </w:r>
        </w:fldSimple>
      </w:p>
    </w:sdtContent>
  </w:sdt>
  <w:p w:rsidR="002E22DE" w:rsidRDefault="002E22D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84A" w:rsidRDefault="00E6784A" w:rsidP="00AD6A87">
      <w:r>
        <w:separator/>
      </w:r>
    </w:p>
  </w:footnote>
  <w:footnote w:type="continuationSeparator" w:id="0">
    <w:p w:rsidR="00E6784A" w:rsidRDefault="00E6784A" w:rsidP="00AD6A87">
      <w:r>
        <w:continuationSeparator/>
      </w:r>
    </w:p>
  </w:footnote>
  <w:footnote w:id="1">
    <w:p w:rsidR="002E22DE" w:rsidRDefault="002E22DE" w:rsidP="007830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20B6">
        <w:t xml:space="preserve">VACÍK,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 w:rsidRPr="002F20B6">
        <w:rPr>
          <w:i/>
          <w:iCs/>
        </w:rPr>
        <w:t>Přehled středoškolské chemie.</w:t>
      </w:r>
      <w:r w:rsidRPr="002F20B6">
        <w:t xml:space="preserve"> Praha : SPN, 1999. ISBN 80–7235–108–7.</w:t>
      </w:r>
      <w:proofErr w:type="gramStart"/>
      <w:r>
        <w:t>s.180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A9D" w:rsidRDefault="00EB6A9D" w:rsidP="00EB6A9D">
    <w:pPr>
      <w:pStyle w:val="Zhlav"/>
    </w:pPr>
    <w:r w:rsidRPr="00C912DA">
      <w:t>Číslo ma</w:t>
    </w:r>
    <w:r>
      <w:t>teriálu:</w:t>
    </w:r>
    <w:r>
      <w:tab/>
      <w:t>VY_32_INOVACE_CHE.5.12</w:t>
    </w:r>
  </w:p>
  <w:p w:rsidR="00EB6A9D" w:rsidRDefault="00EB6A9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6104B"/>
    <w:multiLevelType w:val="hybridMultilevel"/>
    <w:tmpl w:val="A15836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8275B6F"/>
    <w:multiLevelType w:val="multilevel"/>
    <w:tmpl w:val="00DE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6F2CC8"/>
    <w:multiLevelType w:val="hybridMultilevel"/>
    <w:tmpl w:val="2090AF0A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9C6635"/>
    <w:multiLevelType w:val="hybridMultilevel"/>
    <w:tmpl w:val="84FE8E36"/>
    <w:lvl w:ilvl="0" w:tplc="53CE6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6B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A67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D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2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23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E5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4C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8C76B7C"/>
    <w:multiLevelType w:val="multilevel"/>
    <w:tmpl w:val="8B3C08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31050"/>
    <w:rsid w:val="000334DD"/>
    <w:rsid w:val="00052620"/>
    <w:rsid w:val="00073214"/>
    <w:rsid w:val="000A7F7B"/>
    <w:rsid w:val="000D647C"/>
    <w:rsid w:val="001762D4"/>
    <w:rsid w:val="00181A3A"/>
    <w:rsid w:val="001D1277"/>
    <w:rsid w:val="00205D59"/>
    <w:rsid w:val="00262A17"/>
    <w:rsid w:val="002B4C42"/>
    <w:rsid w:val="002E22DE"/>
    <w:rsid w:val="003124FD"/>
    <w:rsid w:val="00372DF2"/>
    <w:rsid w:val="00390FD0"/>
    <w:rsid w:val="00416793"/>
    <w:rsid w:val="00422EE4"/>
    <w:rsid w:val="00482E46"/>
    <w:rsid w:val="004F7174"/>
    <w:rsid w:val="00530754"/>
    <w:rsid w:val="00573531"/>
    <w:rsid w:val="00597675"/>
    <w:rsid w:val="005B6BDD"/>
    <w:rsid w:val="005F08A7"/>
    <w:rsid w:val="00631619"/>
    <w:rsid w:val="006579B8"/>
    <w:rsid w:val="006C41D8"/>
    <w:rsid w:val="006D6456"/>
    <w:rsid w:val="006E3C36"/>
    <w:rsid w:val="00731823"/>
    <w:rsid w:val="00783024"/>
    <w:rsid w:val="007C74AF"/>
    <w:rsid w:val="00811934"/>
    <w:rsid w:val="008146BE"/>
    <w:rsid w:val="00822B52"/>
    <w:rsid w:val="00835179"/>
    <w:rsid w:val="008474E0"/>
    <w:rsid w:val="00852DEA"/>
    <w:rsid w:val="00862CDC"/>
    <w:rsid w:val="0086772D"/>
    <w:rsid w:val="008A5B43"/>
    <w:rsid w:val="008B4DF6"/>
    <w:rsid w:val="008E7234"/>
    <w:rsid w:val="009378BD"/>
    <w:rsid w:val="00956943"/>
    <w:rsid w:val="009A05F8"/>
    <w:rsid w:val="009D6C46"/>
    <w:rsid w:val="009E4A33"/>
    <w:rsid w:val="009F5A8D"/>
    <w:rsid w:val="00A47254"/>
    <w:rsid w:val="00AD0352"/>
    <w:rsid w:val="00AD0411"/>
    <w:rsid w:val="00AD6A87"/>
    <w:rsid w:val="00B20CDB"/>
    <w:rsid w:val="00B23286"/>
    <w:rsid w:val="00B316DB"/>
    <w:rsid w:val="00B624CA"/>
    <w:rsid w:val="00B7717C"/>
    <w:rsid w:val="00B94B78"/>
    <w:rsid w:val="00BA23E4"/>
    <w:rsid w:val="00BD418D"/>
    <w:rsid w:val="00C038FC"/>
    <w:rsid w:val="00C249AF"/>
    <w:rsid w:val="00C53B38"/>
    <w:rsid w:val="00C76594"/>
    <w:rsid w:val="00CA3484"/>
    <w:rsid w:val="00CC227C"/>
    <w:rsid w:val="00D05F19"/>
    <w:rsid w:val="00D26302"/>
    <w:rsid w:val="00D504DA"/>
    <w:rsid w:val="00D5300B"/>
    <w:rsid w:val="00DD151F"/>
    <w:rsid w:val="00E12D41"/>
    <w:rsid w:val="00E213BB"/>
    <w:rsid w:val="00E279BA"/>
    <w:rsid w:val="00E343CF"/>
    <w:rsid w:val="00E60150"/>
    <w:rsid w:val="00E6784A"/>
    <w:rsid w:val="00E67C72"/>
    <w:rsid w:val="00E96B3D"/>
    <w:rsid w:val="00EA29BF"/>
    <w:rsid w:val="00EA384A"/>
    <w:rsid w:val="00EB6A9D"/>
    <w:rsid w:val="00EC4A31"/>
    <w:rsid w:val="00F144D7"/>
    <w:rsid w:val="00F46756"/>
    <w:rsid w:val="00F5476B"/>
    <w:rsid w:val="00F8378E"/>
    <w:rsid w:val="00FD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52DE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A47254"/>
    <w:rPr>
      <w:i/>
      <w:iCs/>
    </w:rPr>
  </w:style>
  <w:style w:type="paragraph" w:customStyle="1" w:styleId="modry">
    <w:name w:val="modry"/>
    <w:basedOn w:val="Normln"/>
    <w:rsid w:val="005B6BD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5B6BDD"/>
    <w:rPr>
      <w:color w:val="0000FF"/>
      <w:u w:val="single"/>
    </w:rPr>
  </w:style>
  <w:style w:type="character" w:customStyle="1" w:styleId="tlacitko">
    <w:name w:val="tlacitko"/>
    <w:basedOn w:val="Standardnpsmoodstavce"/>
    <w:rsid w:val="005B6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70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40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94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438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09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98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F0E81-DD95-4FAF-B614-017FB6AE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4</Pages>
  <Words>886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24</cp:revision>
  <cp:lastPrinted>2013-02-11T15:50:00Z</cp:lastPrinted>
  <dcterms:created xsi:type="dcterms:W3CDTF">2012-10-09T16:06:00Z</dcterms:created>
  <dcterms:modified xsi:type="dcterms:W3CDTF">2013-05-02T18:23:00Z</dcterms:modified>
</cp:coreProperties>
</file>